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5B26" w14:textId="77777777" w:rsidR="00E744E3" w:rsidRPr="001C6087" w:rsidRDefault="00E744E3" w:rsidP="00E744E3">
      <w:pPr>
        <w:rPr>
          <w:b/>
          <w:bCs/>
          <w:sz w:val="26"/>
          <w:szCs w:val="26"/>
          <w:lang w:val="en-US"/>
        </w:rPr>
      </w:pPr>
      <w:r w:rsidRPr="001C6087">
        <w:rPr>
          <w:b/>
          <w:bCs/>
          <w:sz w:val="26"/>
          <w:szCs w:val="26"/>
          <w:lang w:val="en-US"/>
        </w:rPr>
        <w:t>Statement on Israel and the Occupied Palestinian Territories (“OPT”)</w:t>
      </w:r>
    </w:p>
    <w:p w14:paraId="67367D7F" w14:textId="77777777" w:rsidR="00E744E3" w:rsidRDefault="00E744E3" w:rsidP="001C6087">
      <w:pPr>
        <w:jc w:val="both"/>
      </w:pPr>
      <w:r>
        <w:t xml:space="preserve">As institutional investors, London CIV have a responsibility to respect human rights as formalised by the UN and the Office of Enforcement and Compliance Assurance (“OECA”) and have selected this topic as one of our priority engagement themes in 2021 (as detailed in our </w:t>
      </w:r>
      <w:hyperlink r:id="rId7" w:history="1">
        <w:r>
          <w:rPr>
            <w:rStyle w:val="Hyperlink"/>
          </w:rPr>
          <w:t>Stewardship Policy</w:t>
        </w:r>
      </w:hyperlink>
      <w:r>
        <w:t>).</w:t>
      </w:r>
    </w:p>
    <w:p w14:paraId="30794FEC" w14:textId="77777777" w:rsidR="00E744E3" w:rsidRDefault="00E744E3" w:rsidP="001C6087">
      <w:pPr>
        <w:jc w:val="both"/>
      </w:pPr>
      <w:r>
        <w:t xml:space="preserve">As active owners, we take an engagement approach which enables us to have a bigger impact than losing our voice through divestment alone. Meeting international standards and mitigating negative outcomes for people leads to better financial risk management. Helping us to align activities with the evolving demands of beneficiaries, </w:t>
      </w:r>
      <w:proofErr w:type="gramStart"/>
      <w:r>
        <w:t>clients</w:t>
      </w:r>
      <w:proofErr w:type="gramEnd"/>
      <w:r>
        <w:t xml:space="preserve"> and regulators, whilst future-proofing our investments.</w:t>
      </w:r>
    </w:p>
    <w:p w14:paraId="38FBE1F5" w14:textId="77777777" w:rsidR="00E744E3" w:rsidRDefault="00E744E3" w:rsidP="001C6087">
      <w:pPr>
        <w:jc w:val="both"/>
      </w:pPr>
      <w:r>
        <w:t>Following the recent report by Human Rights Watch</w:t>
      </w:r>
      <w:r>
        <w:rPr>
          <w:rStyle w:val="FootnoteReference"/>
        </w:rPr>
        <w:footnoteReference w:id="1"/>
      </w:r>
      <w:r>
        <w:t xml:space="preserve"> (“HRW”) detailing ‘crimes of apartheid and persecution’ by the Israeli authorities and events in Israel and the Occupied Palestinian Territories (“OPT”) London CIV have assessed and disclosed its exposure to the companies accused</w:t>
      </w:r>
      <w:r>
        <w:rPr>
          <w:rStyle w:val="FootnoteReference"/>
        </w:rPr>
        <w:footnoteReference w:id="2"/>
      </w:r>
      <w:r>
        <w:t xml:space="preserve"> of facilitating human rights abuses in the OPT.  </w:t>
      </w:r>
    </w:p>
    <w:p w14:paraId="321849F3" w14:textId="77777777" w:rsidR="00E744E3" w:rsidRDefault="00E744E3" w:rsidP="001C6087">
      <w:pPr>
        <w:jc w:val="both"/>
      </w:pPr>
      <w:r>
        <w:t xml:space="preserve">We commit to engaging with investee companies flagged by United Nations Human Rights Office of the High Commissioner’s (“OHCHR”) A/HRC/37/39 Report and the </w:t>
      </w:r>
      <w:proofErr w:type="spellStart"/>
      <w:r>
        <w:t>WhoProfits</w:t>
      </w:r>
      <w:proofErr w:type="spellEnd"/>
      <w:r>
        <w:t xml:space="preserve"> Online Database and Information Centre, demanding timely responses to our questions. We will assess the outcome of each engagement on a case-by-case basis, using escalation measures if required. </w:t>
      </w:r>
    </w:p>
    <w:p w14:paraId="68D9AFDD" w14:textId="77777777" w:rsidR="00E744E3" w:rsidRDefault="00E744E3" w:rsidP="001C6087">
      <w:pPr>
        <w:jc w:val="both"/>
      </w:pPr>
      <w:r>
        <w:t xml:space="preserve">This piece of engagement work is part of London CIV’s broader active ownership strategy, where we assess global human rights issues at least quarterly to identify the exposure of our funds to such risks and inform our priority engagements. </w:t>
      </w:r>
    </w:p>
    <w:p w14:paraId="023CA128" w14:textId="77777777" w:rsidR="00E744E3" w:rsidRDefault="00E744E3" w:rsidP="001C6087">
      <w:pPr>
        <w:jc w:val="both"/>
      </w:pPr>
      <w:r>
        <w:t xml:space="preserve">Other key engagements on human rights violations include engaging with companies accused of the following </w:t>
      </w:r>
      <w:proofErr w:type="gramStart"/>
      <w:r>
        <w:t>activities;</w:t>
      </w:r>
      <w:proofErr w:type="gramEnd"/>
      <w:r>
        <w:t xml:space="preserve"> benefiting from the forced labour of Uyghurs</w:t>
      </w:r>
      <w:r>
        <w:rPr>
          <w:rStyle w:val="FootnoteReference"/>
        </w:rPr>
        <w:footnoteReference w:id="3"/>
      </w:r>
      <w:r>
        <w:t>, supplying arms used to commit war crimes in Yemen</w:t>
      </w:r>
      <w:r>
        <w:rPr>
          <w:rStyle w:val="FootnoteReference"/>
        </w:rPr>
        <w:footnoteReference w:id="4"/>
      </w:r>
      <w:r>
        <w:t xml:space="preserve"> or maintaining business relationships with military-affiliated </w:t>
      </w:r>
      <w:proofErr w:type="spellStart"/>
      <w:r>
        <w:t>Mytel</w:t>
      </w:r>
      <w:proofErr w:type="spellEnd"/>
      <w:r>
        <w:t xml:space="preserve"> and Viettel in Myanmar</w:t>
      </w:r>
      <w:r>
        <w:rPr>
          <w:rStyle w:val="FootnoteReference"/>
        </w:rPr>
        <w:footnoteReference w:id="5"/>
      </w:r>
      <w:r>
        <w:t xml:space="preserve">.  </w:t>
      </w:r>
    </w:p>
    <w:p w14:paraId="6AFF3646" w14:textId="77777777" w:rsidR="00E744E3" w:rsidRDefault="00E744E3" w:rsidP="001C6087">
      <w:pPr>
        <w:jc w:val="both"/>
      </w:pPr>
      <w:r>
        <w:t>We will continue to monitor all relevant lists and identify emerging issues to ensure our funds are not complicit in any violations of human rights or international law anywhere in the world.</w:t>
      </w:r>
    </w:p>
    <w:p w14:paraId="3074240E" w14:textId="77777777" w:rsidR="00314F21" w:rsidRDefault="00314F21">
      <w:pPr>
        <w:rPr>
          <w:b/>
          <w:bCs/>
        </w:rPr>
      </w:pPr>
      <w:r>
        <w:rPr>
          <w:b/>
          <w:bCs/>
        </w:rPr>
        <w:br w:type="page"/>
      </w:r>
    </w:p>
    <w:p w14:paraId="7162BCAE" w14:textId="7005FAD1" w:rsidR="00430744" w:rsidRPr="00102C21" w:rsidRDefault="00430744">
      <w:pPr>
        <w:rPr>
          <w:b/>
          <w:bCs/>
        </w:rPr>
      </w:pPr>
      <w:r w:rsidRPr="00102C21">
        <w:rPr>
          <w:b/>
          <w:bCs/>
        </w:rPr>
        <w:lastRenderedPageBreak/>
        <w:t>Non-pooled Funds</w:t>
      </w:r>
    </w:p>
    <w:tbl>
      <w:tblPr>
        <w:tblStyle w:val="TableGrid"/>
        <w:tblpPr w:leftFromText="180" w:rightFromText="180" w:vertAnchor="text" w:tblpY="1"/>
        <w:tblOverlap w:val="never"/>
        <w:tblW w:w="9776" w:type="dxa"/>
        <w:tblLook w:val="04A0" w:firstRow="1" w:lastRow="0" w:firstColumn="1" w:lastColumn="0" w:noHBand="0" w:noVBand="1"/>
      </w:tblPr>
      <w:tblGrid>
        <w:gridCol w:w="3823"/>
        <w:gridCol w:w="1842"/>
        <w:gridCol w:w="2174"/>
        <w:gridCol w:w="1937"/>
      </w:tblGrid>
      <w:tr w:rsidR="00430744" w:rsidRPr="00AA2CAD" w14:paraId="1A932999" w14:textId="77777777" w:rsidTr="00AA2CAD">
        <w:trPr>
          <w:trHeight w:val="368"/>
        </w:trPr>
        <w:tc>
          <w:tcPr>
            <w:tcW w:w="3823" w:type="dxa"/>
            <w:shd w:val="clear" w:color="auto" w:fill="7030A0"/>
            <w:noWrap/>
            <w:vAlign w:val="center"/>
            <w:hideMark/>
          </w:tcPr>
          <w:p w14:paraId="42834196" w14:textId="6C4701B2" w:rsidR="00430744" w:rsidRPr="00AA2CAD" w:rsidRDefault="000A08CF" w:rsidP="00AA2CAD">
            <w:pPr>
              <w:jc w:val="center"/>
              <w:rPr>
                <w:b/>
                <w:bCs/>
                <w:color w:val="FFFFFF" w:themeColor="background1"/>
                <w:sz w:val="18"/>
                <w:szCs w:val="18"/>
              </w:rPr>
            </w:pPr>
            <w:r w:rsidRPr="00AA2CAD">
              <w:rPr>
                <w:b/>
                <w:bCs/>
                <w:color w:val="FFFFFF" w:themeColor="background1"/>
                <w:sz w:val="18"/>
                <w:szCs w:val="18"/>
              </w:rPr>
              <w:t>Fund Name</w:t>
            </w:r>
          </w:p>
        </w:tc>
        <w:tc>
          <w:tcPr>
            <w:tcW w:w="1842" w:type="dxa"/>
            <w:shd w:val="clear" w:color="auto" w:fill="7030A0"/>
            <w:noWrap/>
            <w:vAlign w:val="center"/>
            <w:hideMark/>
          </w:tcPr>
          <w:p w14:paraId="4077DF59" w14:textId="08F00EBE" w:rsidR="00430744" w:rsidRPr="00AA2CAD" w:rsidRDefault="000A08CF" w:rsidP="00AA2CAD">
            <w:pPr>
              <w:jc w:val="center"/>
              <w:rPr>
                <w:b/>
                <w:bCs/>
                <w:color w:val="FFFFFF" w:themeColor="background1"/>
                <w:sz w:val="18"/>
                <w:szCs w:val="18"/>
              </w:rPr>
            </w:pPr>
            <w:r w:rsidRPr="00AA2CAD">
              <w:rPr>
                <w:b/>
                <w:bCs/>
                <w:color w:val="FFFFFF" w:themeColor="background1"/>
                <w:sz w:val="18"/>
                <w:szCs w:val="18"/>
              </w:rPr>
              <w:t>Company</w:t>
            </w:r>
          </w:p>
        </w:tc>
        <w:tc>
          <w:tcPr>
            <w:tcW w:w="2174" w:type="dxa"/>
            <w:shd w:val="clear" w:color="auto" w:fill="7030A0"/>
            <w:noWrap/>
            <w:vAlign w:val="center"/>
            <w:hideMark/>
          </w:tcPr>
          <w:p w14:paraId="51C03A97" w14:textId="487EE260" w:rsidR="00430744" w:rsidRPr="00AA2CAD" w:rsidRDefault="000A08CF" w:rsidP="00AA2CAD">
            <w:pPr>
              <w:jc w:val="center"/>
              <w:rPr>
                <w:b/>
                <w:bCs/>
                <w:color w:val="FFFFFF" w:themeColor="background1"/>
                <w:sz w:val="18"/>
                <w:szCs w:val="18"/>
              </w:rPr>
            </w:pPr>
            <w:r w:rsidRPr="00AA2CAD">
              <w:rPr>
                <w:b/>
                <w:bCs/>
                <w:color w:val="FFFFFF" w:themeColor="background1"/>
                <w:sz w:val="18"/>
                <w:szCs w:val="18"/>
              </w:rPr>
              <w:t>Reference</w:t>
            </w:r>
          </w:p>
        </w:tc>
        <w:tc>
          <w:tcPr>
            <w:tcW w:w="1937" w:type="dxa"/>
            <w:shd w:val="clear" w:color="auto" w:fill="7030A0"/>
            <w:noWrap/>
            <w:vAlign w:val="center"/>
            <w:hideMark/>
          </w:tcPr>
          <w:p w14:paraId="569483DA" w14:textId="0E8BF354" w:rsidR="00430744" w:rsidRPr="00AA2CAD" w:rsidRDefault="00430744" w:rsidP="00AA2CAD">
            <w:pPr>
              <w:jc w:val="center"/>
              <w:rPr>
                <w:b/>
                <w:bCs/>
                <w:color w:val="FFFFFF" w:themeColor="background1"/>
                <w:sz w:val="18"/>
                <w:szCs w:val="18"/>
              </w:rPr>
            </w:pPr>
            <w:r w:rsidRPr="00AA2CAD">
              <w:rPr>
                <w:b/>
                <w:bCs/>
                <w:color w:val="FFFFFF" w:themeColor="background1"/>
                <w:sz w:val="18"/>
                <w:szCs w:val="18"/>
              </w:rPr>
              <w:t>T</w:t>
            </w:r>
            <w:r w:rsidR="000A08CF" w:rsidRPr="00AA2CAD">
              <w:rPr>
                <w:b/>
                <w:bCs/>
                <w:color w:val="FFFFFF" w:themeColor="background1"/>
                <w:sz w:val="18"/>
                <w:szCs w:val="18"/>
              </w:rPr>
              <w:t>otal</w:t>
            </w:r>
            <w:r w:rsidRPr="00AA2CAD">
              <w:rPr>
                <w:b/>
                <w:bCs/>
                <w:color w:val="FFFFFF" w:themeColor="background1"/>
                <w:sz w:val="18"/>
                <w:szCs w:val="18"/>
              </w:rPr>
              <w:t xml:space="preserve"> M</w:t>
            </w:r>
            <w:r w:rsidR="000A08CF" w:rsidRPr="00AA2CAD">
              <w:rPr>
                <w:b/>
                <w:bCs/>
                <w:color w:val="FFFFFF" w:themeColor="background1"/>
                <w:sz w:val="18"/>
                <w:szCs w:val="18"/>
              </w:rPr>
              <w:t>arket</w:t>
            </w:r>
            <w:r w:rsidRPr="00AA2CAD">
              <w:rPr>
                <w:b/>
                <w:bCs/>
                <w:color w:val="FFFFFF" w:themeColor="background1"/>
                <w:sz w:val="18"/>
                <w:szCs w:val="18"/>
              </w:rPr>
              <w:t xml:space="preserve"> V</w:t>
            </w:r>
            <w:r w:rsidR="000A08CF" w:rsidRPr="00AA2CAD">
              <w:rPr>
                <w:b/>
                <w:bCs/>
                <w:color w:val="FFFFFF" w:themeColor="background1"/>
                <w:sz w:val="18"/>
                <w:szCs w:val="18"/>
              </w:rPr>
              <w:t>alue</w:t>
            </w:r>
            <w:r w:rsidRPr="00AA2CAD">
              <w:rPr>
                <w:b/>
                <w:bCs/>
                <w:color w:val="FFFFFF" w:themeColor="background1"/>
                <w:sz w:val="18"/>
                <w:szCs w:val="18"/>
              </w:rPr>
              <w:t xml:space="preserve"> (£)</w:t>
            </w:r>
          </w:p>
        </w:tc>
      </w:tr>
      <w:tr w:rsidR="00430744" w:rsidRPr="00AA2CAD" w14:paraId="078ED368" w14:textId="77777777" w:rsidTr="00AA2CAD">
        <w:trPr>
          <w:trHeight w:hRule="exact" w:val="284"/>
        </w:trPr>
        <w:tc>
          <w:tcPr>
            <w:tcW w:w="3823" w:type="dxa"/>
            <w:noWrap/>
            <w:vAlign w:val="center"/>
            <w:hideMark/>
          </w:tcPr>
          <w:p w14:paraId="1AAF9F89" w14:textId="3DF7BCFD" w:rsidR="00430744" w:rsidRPr="00AA2CAD" w:rsidRDefault="000A08CF" w:rsidP="00AA2CAD">
            <w:pPr>
              <w:rPr>
                <w:sz w:val="18"/>
                <w:szCs w:val="18"/>
              </w:rPr>
            </w:pPr>
            <w:r w:rsidRPr="00AA2CAD">
              <w:rPr>
                <w:sz w:val="18"/>
                <w:szCs w:val="18"/>
              </w:rPr>
              <w:t>LCIV Equity Income Fund</w:t>
            </w:r>
          </w:p>
        </w:tc>
        <w:tc>
          <w:tcPr>
            <w:tcW w:w="1842" w:type="dxa"/>
            <w:noWrap/>
            <w:vAlign w:val="center"/>
            <w:hideMark/>
          </w:tcPr>
          <w:p w14:paraId="5E881326" w14:textId="15E5F193" w:rsidR="00430744" w:rsidRPr="00AA2CAD" w:rsidRDefault="000A08CF" w:rsidP="00AA2CAD">
            <w:pPr>
              <w:rPr>
                <w:sz w:val="18"/>
                <w:szCs w:val="18"/>
              </w:rPr>
            </w:pPr>
            <w:r w:rsidRPr="00AA2CAD">
              <w:rPr>
                <w:sz w:val="18"/>
                <w:szCs w:val="18"/>
              </w:rPr>
              <w:t>Siemens</w:t>
            </w:r>
          </w:p>
        </w:tc>
        <w:tc>
          <w:tcPr>
            <w:tcW w:w="2174" w:type="dxa"/>
            <w:noWrap/>
            <w:vAlign w:val="center"/>
            <w:hideMark/>
          </w:tcPr>
          <w:p w14:paraId="2553847B" w14:textId="40CA599A" w:rsidR="00430744" w:rsidRPr="00AA2CAD" w:rsidRDefault="000A08CF" w:rsidP="00AA2CAD">
            <w:pPr>
              <w:rPr>
                <w:sz w:val="18"/>
                <w:szCs w:val="18"/>
              </w:rPr>
            </w:pPr>
            <w:r w:rsidRPr="00AA2CAD">
              <w:rPr>
                <w:sz w:val="18"/>
                <w:szCs w:val="18"/>
              </w:rPr>
              <w:t>Who Profits/Investigate</w:t>
            </w:r>
          </w:p>
        </w:tc>
        <w:tc>
          <w:tcPr>
            <w:tcW w:w="1937" w:type="dxa"/>
            <w:noWrap/>
            <w:vAlign w:val="center"/>
            <w:hideMark/>
          </w:tcPr>
          <w:p w14:paraId="100E16D6" w14:textId="0B33247D" w:rsidR="00430744" w:rsidRPr="00AA2CAD" w:rsidRDefault="00430744" w:rsidP="00AA2CAD">
            <w:pPr>
              <w:jc w:val="right"/>
              <w:rPr>
                <w:sz w:val="18"/>
                <w:szCs w:val="18"/>
              </w:rPr>
            </w:pPr>
            <w:r w:rsidRPr="00AA2CAD">
              <w:rPr>
                <w:sz w:val="18"/>
                <w:szCs w:val="18"/>
              </w:rPr>
              <w:t>29,772</w:t>
            </w:r>
          </w:p>
        </w:tc>
      </w:tr>
      <w:tr w:rsidR="00430744" w:rsidRPr="00AA2CAD" w14:paraId="323C43A4" w14:textId="77777777" w:rsidTr="00AA2CAD">
        <w:trPr>
          <w:trHeight w:hRule="exact" w:val="284"/>
        </w:trPr>
        <w:tc>
          <w:tcPr>
            <w:tcW w:w="3823" w:type="dxa"/>
            <w:noWrap/>
            <w:vAlign w:val="center"/>
            <w:hideMark/>
          </w:tcPr>
          <w:p w14:paraId="0D50F116" w14:textId="26BCFB11" w:rsidR="00430744" w:rsidRPr="00AA2CAD" w:rsidRDefault="000A08CF" w:rsidP="00AA2CAD">
            <w:pPr>
              <w:rPr>
                <w:sz w:val="18"/>
                <w:szCs w:val="18"/>
              </w:rPr>
            </w:pPr>
            <w:r w:rsidRPr="00AA2CAD">
              <w:rPr>
                <w:sz w:val="18"/>
                <w:szCs w:val="18"/>
              </w:rPr>
              <w:t>LCIV Global Alpha Growth Fund</w:t>
            </w:r>
          </w:p>
        </w:tc>
        <w:tc>
          <w:tcPr>
            <w:tcW w:w="1842" w:type="dxa"/>
            <w:noWrap/>
            <w:vAlign w:val="center"/>
            <w:hideMark/>
          </w:tcPr>
          <w:p w14:paraId="753D8439" w14:textId="408EB888" w:rsidR="00430744" w:rsidRPr="00AA2CAD" w:rsidRDefault="000A08CF" w:rsidP="00AA2CAD">
            <w:pPr>
              <w:rPr>
                <w:sz w:val="18"/>
                <w:szCs w:val="18"/>
              </w:rPr>
            </w:pPr>
            <w:r w:rsidRPr="00AA2CAD">
              <w:rPr>
                <w:sz w:val="18"/>
                <w:szCs w:val="18"/>
              </w:rPr>
              <w:t>Albemarle Corporation</w:t>
            </w:r>
          </w:p>
        </w:tc>
        <w:tc>
          <w:tcPr>
            <w:tcW w:w="2174" w:type="dxa"/>
            <w:noWrap/>
            <w:vAlign w:val="center"/>
            <w:hideMark/>
          </w:tcPr>
          <w:p w14:paraId="5406777E" w14:textId="3BEADCE3" w:rsidR="00430744" w:rsidRPr="00AA2CAD" w:rsidRDefault="000A08CF" w:rsidP="00AA2CAD">
            <w:pPr>
              <w:rPr>
                <w:sz w:val="18"/>
                <w:szCs w:val="18"/>
              </w:rPr>
            </w:pPr>
            <w:r w:rsidRPr="00AA2CAD">
              <w:rPr>
                <w:sz w:val="18"/>
                <w:szCs w:val="18"/>
              </w:rPr>
              <w:t>Who Profits</w:t>
            </w:r>
          </w:p>
        </w:tc>
        <w:tc>
          <w:tcPr>
            <w:tcW w:w="1937" w:type="dxa"/>
            <w:noWrap/>
            <w:vAlign w:val="center"/>
            <w:hideMark/>
          </w:tcPr>
          <w:p w14:paraId="1722EF1F" w14:textId="073EE06F" w:rsidR="00430744" w:rsidRPr="00AA2CAD" w:rsidRDefault="00430744" w:rsidP="00AA2CAD">
            <w:pPr>
              <w:jc w:val="right"/>
              <w:rPr>
                <w:sz w:val="18"/>
                <w:szCs w:val="18"/>
              </w:rPr>
            </w:pPr>
            <w:r w:rsidRPr="00AA2CAD">
              <w:rPr>
                <w:sz w:val="18"/>
                <w:szCs w:val="18"/>
              </w:rPr>
              <w:t>32,385,375</w:t>
            </w:r>
          </w:p>
        </w:tc>
      </w:tr>
      <w:tr w:rsidR="000A08CF" w:rsidRPr="00AA2CAD" w14:paraId="7E157E00" w14:textId="77777777" w:rsidTr="00AA2CAD">
        <w:trPr>
          <w:trHeight w:hRule="exact" w:val="284"/>
        </w:trPr>
        <w:tc>
          <w:tcPr>
            <w:tcW w:w="3823" w:type="dxa"/>
            <w:noWrap/>
            <w:vAlign w:val="center"/>
            <w:hideMark/>
          </w:tcPr>
          <w:p w14:paraId="4CFBBA14" w14:textId="5702D778" w:rsidR="000A08CF" w:rsidRPr="00AA2CAD" w:rsidRDefault="000A08CF" w:rsidP="00AA2CAD">
            <w:pPr>
              <w:rPr>
                <w:sz w:val="18"/>
                <w:szCs w:val="18"/>
              </w:rPr>
            </w:pPr>
            <w:r w:rsidRPr="00AA2CAD">
              <w:rPr>
                <w:sz w:val="18"/>
                <w:szCs w:val="18"/>
              </w:rPr>
              <w:t>LCIV Global Alpha Growth Fund</w:t>
            </w:r>
          </w:p>
        </w:tc>
        <w:tc>
          <w:tcPr>
            <w:tcW w:w="1842" w:type="dxa"/>
            <w:noWrap/>
            <w:vAlign w:val="center"/>
            <w:hideMark/>
          </w:tcPr>
          <w:p w14:paraId="701E6063" w14:textId="3909A729" w:rsidR="000A08CF" w:rsidRPr="00AA2CAD" w:rsidRDefault="000A08CF" w:rsidP="00AA2CAD">
            <w:pPr>
              <w:rPr>
                <w:sz w:val="18"/>
                <w:szCs w:val="18"/>
              </w:rPr>
            </w:pPr>
            <w:r w:rsidRPr="00AA2CAD">
              <w:rPr>
                <w:sz w:val="18"/>
                <w:szCs w:val="18"/>
              </w:rPr>
              <w:t>Alphabet</w:t>
            </w:r>
          </w:p>
        </w:tc>
        <w:tc>
          <w:tcPr>
            <w:tcW w:w="2174" w:type="dxa"/>
            <w:noWrap/>
            <w:vAlign w:val="center"/>
            <w:hideMark/>
          </w:tcPr>
          <w:p w14:paraId="5864AEF9" w14:textId="462C3140"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29996DC9" w14:textId="0E31A87D" w:rsidR="000A08CF" w:rsidRPr="00AA2CAD" w:rsidRDefault="000A08CF" w:rsidP="00AA2CAD">
            <w:pPr>
              <w:jc w:val="right"/>
              <w:rPr>
                <w:sz w:val="18"/>
                <w:szCs w:val="18"/>
              </w:rPr>
            </w:pPr>
            <w:r w:rsidRPr="00AA2CAD">
              <w:rPr>
                <w:sz w:val="18"/>
                <w:szCs w:val="18"/>
              </w:rPr>
              <w:t>76,337,271</w:t>
            </w:r>
          </w:p>
        </w:tc>
      </w:tr>
      <w:tr w:rsidR="000A08CF" w:rsidRPr="00AA2CAD" w14:paraId="7F6A9BAB" w14:textId="77777777" w:rsidTr="00AA2CAD">
        <w:trPr>
          <w:trHeight w:hRule="exact" w:val="284"/>
        </w:trPr>
        <w:tc>
          <w:tcPr>
            <w:tcW w:w="3823" w:type="dxa"/>
            <w:noWrap/>
            <w:vAlign w:val="center"/>
            <w:hideMark/>
          </w:tcPr>
          <w:p w14:paraId="198FB8DE" w14:textId="5C8B5C7E" w:rsidR="000A08CF" w:rsidRPr="00AA2CAD" w:rsidRDefault="000A08CF" w:rsidP="00AA2CAD">
            <w:pPr>
              <w:rPr>
                <w:sz w:val="18"/>
                <w:szCs w:val="18"/>
              </w:rPr>
            </w:pPr>
            <w:r w:rsidRPr="00AA2CAD">
              <w:rPr>
                <w:sz w:val="18"/>
                <w:szCs w:val="18"/>
              </w:rPr>
              <w:t>LCIV Global Alpha Growth Fund</w:t>
            </w:r>
          </w:p>
        </w:tc>
        <w:tc>
          <w:tcPr>
            <w:tcW w:w="1842" w:type="dxa"/>
            <w:noWrap/>
            <w:vAlign w:val="center"/>
            <w:hideMark/>
          </w:tcPr>
          <w:p w14:paraId="39B3E1A8" w14:textId="2C26F63C" w:rsidR="000A08CF" w:rsidRPr="00AA2CAD" w:rsidRDefault="000A08CF" w:rsidP="00AA2CAD">
            <w:pPr>
              <w:rPr>
                <w:sz w:val="18"/>
                <w:szCs w:val="18"/>
              </w:rPr>
            </w:pPr>
            <w:r w:rsidRPr="00AA2CAD">
              <w:rPr>
                <w:sz w:val="18"/>
                <w:szCs w:val="18"/>
              </w:rPr>
              <w:t>Booking Holdings</w:t>
            </w:r>
          </w:p>
        </w:tc>
        <w:tc>
          <w:tcPr>
            <w:tcW w:w="2174" w:type="dxa"/>
            <w:noWrap/>
            <w:vAlign w:val="center"/>
            <w:hideMark/>
          </w:tcPr>
          <w:p w14:paraId="44E4CF09" w14:textId="63CE1291" w:rsidR="000A08CF" w:rsidRPr="00AA2CAD" w:rsidRDefault="000A08CF" w:rsidP="00AA2CAD">
            <w:pPr>
              <w:rPr>
                <w:sz w:val="18"/>
                <w:szCs w:val="18"/>
              </w:rPr>
            </w:pPr>
            <w:r w:rsidRPr="00AA2CAD">
              <w:rPr>
                <w:sz w:val="18"/>
                <w:szCs w:val="18"/>
              </w:rPr>
              <w:t>Who Profits/Investigate/</w:t>
            </w:r>
            <w:r w:rsidR="001169B5" w:rsidRPr="00AA2CAD">
              <w:rPr>
                <w:sz w:val="18"/>
                <w:szCs w:val="18"/>
              </w:rPr>
              <w:t>OHCHR</w:t>
            </w:r>
          </w:p>
        </w:tc>
        <w:tc>
          <w:tcPr>
            <w:tcW w:w="1937" w:type="dxa"/>
            <w:noWrap/>
            <w:vAlign w:val="center"/>
            <w:hideMark/>
          </w:tcPr>
          <w:p w14:paraId="18E7606B" w14:textId="4717E6F2" w:rsidR="000A08CF" w:rsidRPr="00AA2CAD" w:rsidRDefault="000A08CF" w:rsidP="00AA2CAD">
            <w:pPr>
              <w:jc w:val="right"/>
              <w:rPr>
                <w:sz w:val="18"/>
                <w:szCs w:val="18"/>
              </w:rPr>
            </w:pPr>
            <w:r w:rsidRPr="00AA2CAD">
              <w:rPr>
                <w:sz w:val="18"/>
                <w:szCs w:val="18"/>
              </w:rPr>
              <w:t>35,471,597</w:t>
            </w:r>
          </w:p>
        </w:tc>
      </w:tr>
      <w:tr w:rsidR="000A08CF" w:rsidRPr="00AA2CAD" w14:paraId="73120571" w14:textId="77777777" w:rsidTr="00AA2CAD">
        <w:trPr>
          <w:trHeight w:hRule="exact" w:val="284"/>
        </w:trPr>
        <w:tc>
          <w:tcPr>
            <w:tcW w:w="3823" w:type="dxa"/>
            <w:noWrap/>
            <w:vAlign w:val="center"/>
            <w:hideMark/>
          </w:tcPr>
          <w:p w14:paraId="37E2F52B" w14:textId="601FD187" w:rsidR="000A08CF" w:rsidRPr="00AA2CAD" w:rsidRDefault="000A08CF" w:rsidP="00AA2CAD">
            <w:pPr>
              <w:rPr>
                <w:sz w:val="18"/>
                <w:szCs w:val="18"/>
              </w:rPr>
            </w:pPr>
            <w:r w:rsidRPr="00AA2CAD">
              <w:rPr>
                <w:sz w:val="18"/>
                <w:szCs w:val="18"/>
              </w:rPr>
              <w:t>LCIV Global Alpha Growth Fund</w:t>
            </w:r>
          </w:p>
        </w:tc>
        <w:tc>
          <w:tcPr>
            <w:tcW w:w="1842" w:type="dxa"/>
            <w:noWrap/>
            <w:vAlign w:val="center"/>
            <w:hideMark/>
          </w:tcPr>
          <w:p w14:paraId="18E44AD0" w14:textId="680D23EA" w:rsidR="000A08CF" w:rsidRPr="00AA2CAD" w:rsidRDefault="000A08CF" w:rsidP="00AA2CAD">
            <w:pPr>
              <w:rPr>
                <w:sz w:val="18"/>
                <w:szCs w:val="18"/>
              </w:rPr>
            </w:pPr>
            <w:r w:rsidRPr="00AA2CAD">
              <w:rPr>
                <w:sz w:val="18"/>
                <w:szCs w:val="18"/>
              </w:rPr>
              <w:t>Facebook</w:t>
            </w:r>
          </w:p>
        </w:tc>
        <w:tc>
          <w:tcPr>
            <w:tcW w:w="2174" w:type="dxa"/>
            <w:noWrap/>
            <w:vAlign w:val="center"/>
            <w:hideMark/>
          </w:tcPr>
          <w:p w14:paraId="0916DF63" w14:textId="1E5886E4"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4D8499ED" w14:textId="570EDAB7" w:rsidR="000A08CF" w:rsidRPr="00AA2CAD" w:rsidRDefault="000A08CF" w:rsidP="00AA2CAD">
            <w:pPr>
              <w:jc w:val="right"/>
              <w:rPr>
                <w:sz w:val="18"/>
                <w:szCs w:val="18"/>
              </w:rPr>
            </w:pPr>
            <w:r w:rsidRPr="00AA2CAD">
              <w:rPr>
                <w:sz w:val="18"/>
                <w:szCs w:val="18"/>
              </w:rPr>
              <w:t>40,432,942</w:t>
            </w:r>
          </w:p>
        </w:tc>
      </w:tr>
      <w:tr w:rsidR="000A08CF" w:rsidRPr="00AA2CAD" w14:paraId="0078FB4A" w14:textId="77777777" w:rsidTr="00AA2CAD">
        <w:trPr>
          <w:trHeight w:hRule="exact" w:val="284"/>
        </w:trPr>
        <w:tc>
          <w:tcPr>
            <w:tcW w:w="3823" w:type="dxa"/>
            <w:noWrap/>
            <w:vAlign w:val="center"/>
            <w:hideMark/>
          </w:tcPr>
          <w:p w14:paraId="1567B2EB" w14:textId="46393857" w:rsidR="000A08CF" w:rsidRPr="00AA2CAD" w:rsidRDefault="000A08CF" w:rsidP="00AA2CAD">
            <w:pPr>
              <w:rPr>
                <w:sz w:val="18"/>
                <w:szCs w:val="18"/>
              </w:rPr>
            </w:pPr>
            <w:r w:rsidRPr="00AA2CAD">
              <w:rPr>
                <w:sz w:val="18"/>
                <w:szCs w:val="18"/>
              </w:rPr>
              <w:t>LCIV Global Alpha Growth Fund</w:t>
            </w:r>
          </w:p>
        </w:tc>
        <w:tc>
          <w:tcPr>
            <w:tcW w:w="1842" w:type="dxa"/>
            <w:noWrap/>
            <w:vAlign w:val="center"/>
            <w:hideMark/>
          </w:tcPr>
          <w:p w14:paraId="4647A661" w14:textId="083651A0" w:rsidR="000A08CF" w:rsidRPr="00AA2CAD" w:rsidRDefault="000A08CF" w:rsidP="00AA2CAD">
            <w:pPr>
              <w:rPr>
                <w:sz w:val="18"/>
                <w:szCs w:val="18"/>
              </w:rPr>
            </w:pPr>
            <w:r w:rsidRPr="00AA2CAD">
              <w:rPr>
                <w:sz w:val="18"/>
                <w:szCs w:val="18"/>
              </w:rPr>
              <w:t>Microsoft</w:t>
            </w:r>
          </w:p>
        </w:tc>
        <w:tc>
          <w:tcPr>
            <w:tcW w:w="2174" w:type="dxa"/>
            <w:noWrap/>
            <w:vAlign w:val="center"/>
            <w:hideMark/>
          </w:tcPr>
          <w:p w14:paraId="45C6BC3E" w14:textId="64C5558C"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74306AAA" w14:textId="6C4C215A" w:rsidR="000A08CF" w:rsidRPr="00AA2CAD" w:rsidRDefault="000A08CF" w:rsidP="00AA2CAD">
            <w:pPr>
              <w:jc w:val="right"/>
              <w:rPr>
                <w:sz w:val="18"/>
                <w:szCs w:val="18"/>
              </w:rPr>
            </w:pPr>
            <w:r w:rsidRPr="00AA2CAD">
              <w:rPr>
                <w:sz w:val="18"/>
                <w:szCs w:val="18"/>
              </w:rPr>
              <w:t>72,984,724</w:t>
            </w:r>
          </w:p>
        </w:tc>
      </w:tr>
      <w:tr w:rsidR="00430744" w:rsidRPr="00AA2CAD" w14:paraId="475E3D57" w14:textId="77777777" w:rsidTr="00AA2CAD">
        <w:trPr>
          <w:trHeight w:hRule="exact" w:val="284"/>
        </w:trPr>
        <w:tc>
          <w:tcPr>
            <w:tcW w:w="3823" w:type="dxa"/>
            <w:noWrap/>
            <w:vAlign w:val="center"/>
            <w:hideMark/>
          </w:tcPr>
          <w:p w14:paraId="3C4CFF5A" w14:textId="0C7D723D" w:rsidR="00430744" w:rsidRPr="00AA2CAD" w:rsidRDefault="000A08CF" w:rsidP="00AA2CAD">
            <w:pPr>
              <w:rPr>
                <w:sz w:val="18"/>
                <w:szCs w:val="18"/>
              </w:rPr>
            </w:pPr>
            <w:r w:rsidRPr="00AA2CAD">
              <w:rPr>
                <w:sz w:val="18"/>
                <w:szCs w:val="18"/>
              </w:rPr>
              <w:t>LCIV Global Alpha Growth Paris Aligned Fund</w:t>
            </w:r>
          </w:p>
        </w:tc>
        <w:tc>
          <w:tcPr>
            <w:tcW w:w="1842" w:type="dxa"/>
            <w:noWrap/>
            <w:vAlign w:val="center"/>
            <w:hideMark/>
          </w:tcPr>
          <w:p w14:paraId="70ED05BF" w14:textId="10FBE78C" w:rsidR="00430744" w:rsidRPr="00AA2CAD" w:rsidRDefault="000A08CF" w:rsidP="00AA2CAD">
            <w:pPr>
              <w:rPr>
                <w:sz w:val="18"/>
                <w:szCs w:val="18"/>
              </w:rPr>
            </w:pPr>
            <w:r w:rsidRPr="00AA2CAD">
              <w:rPr>
                <w:sz w:val="18"/>
                <w:szCs w:val="18"/>
              </w:rPr>
              <w:t>Alphabet</w:t>
            </w:r>
          </w:p>
        </w:tc>
        <w:tc>
          <w:tcPr>
            <w:tcW w:w="2174" w:type="dxa"/>
            <w:noWrap/>
            <w:vAlign w:val="center"/>
            <w:hideMark/>
          </w:tcPr>
          <w:p w14:paraId="500264D3" w14:textId="1D18D9F4" w:rsidR="00430744" w:rsidRPr="00AA2CAD" w:rsidRDefault="000A08CF" w:rsidP="00AA2CAD">
            <w:pPr>
              <w:rPr>
                <w:sz w:val="18"/>
                <w:szCs w:val="18"/>
              </w:rPr>
            </w:pPr>
            <w:r w:rsidRPr="00AA2CAD">
              <w:rPr>
                <w:sz w:val="18"/>
                <w:szCs w:val="18"/>
              </w:rPr>
              <w:t>Investigate</w:t>
            </w:r>
          </w:p>
        </w:tc>
        <w:tc>
          <w:tcPr>
            <w:tcW w:w="1937" w:type="dxa"/>
            <w:noWrap/>
            <w:vAlign w:val="center"/>
            <w:hideMark/>
          </w:tcPr>
          <w:p w14:paraId="06E2D6FC" w14:textId="3D144168" w:rsidR="00430744" w:rsidRPr="00AA2CAD" w:rsidRDefault="00430744" w:rsidP="00AA2CAD">
            <w:pPr>
              <w:jc w:val="right"/>
              <w:rPr>
                <w:sz w:val="18"/>
                <w:szCs w:val="18"/>
              </w:rPr>
            </w:pPr>
            <w:r w:rsidRPr="00AA2CAD">
              <w:rPr>
                <w:sz w:val="18"/>
                <w:szCs w:val="18"/>
              </w:rPr>
              <w:t>11,847,862</w:t>
            </w:r>
          </w:p>
        </w:tc>
      </w:tr>
      <w:tr w:rsidR="000A08CF" w:rsidRPr="00AA2CAD" w14:paraId="12EE762D" w14:textId="77777777" w:rsidTr="00AA2CAD">
        <w:trPr>
          <w:trHeight w:hRule="exact" w:val="284"/>
        </w:trPr>
        <w:tc>
          <w:tcPr>
            <w:tcW w:w="3823" w:type="dxa"/>
            <w:noWrap/>
            <w:vAlign w:val="center"/>
            <w:hideMark/>
          </w:tcPr>
          <w:p w14:paraId="05640A80" w14:textId="2B9CEC32" w:rsidR="000A08CF" w:rsidRPr="00AA2CAD" w:rsidRDefault="000A08CF" w:rsidP="00AA2CAD">
            <w:pPr>
              <w:rPr>
                <w:sz w:val="18"/>
                <w:szCs w:val="18"/>
              </w:rPr>
            </w:pPr>
            <w:r w:rsidRPr="00AA2CAD">
              <w:rPr>
                <w:sz w:val="18"/>
                <w:szCs w:val="18"/>
              </w:rPr>
              <w:t>LCIV Global Alpha Growth Paris Aligned Fund</w:t>
            </w:r>
          </w:p>
        </w:tc>
        <w:tc>
          <w:tcPr>
            <w:tcW w:w="1842" w:type="dxa"/>
            <w:noWrap/>
            <w:vAlign w:val="center"/>
            <w:hideMark/>
          </w:tcPr>
          <w:p w14:paraId="69F38672" w14:textId="51C6A939" w:rsidR="000A08CF" w:rsidRPr="00AA2CAD" w:rsidRDefault="000A08CF" w:rsidP="00AA2CAD">
            <w:pPr>
              <w:rPr>
                <w:sz w:val="18"/>
                <w:szCs w:val="18"/>
              </w:rPr>
            </w:pPr>
            <w:r w:rsidRPr="00AA2CAD">
              <w:rPr>
                <w:sz w:val="18"/>
                <w:szCs w:val="18"/>
              </w:rPr>
              <w:t>Booking Holdings</w:t>
            </w:r>
          </w:p>
        </w:tc>
        <w:tc>
          <w:tcPr>
            <w:tcW w:w="2174" w:type="dxa"/>
            <w:noWrap/>
            <w:vAlign w:val="center"/>
            <w:hideMark/>
          </w:tcPr>
          <w:p w14:paraId="3E79BB3A" w14:textId="0AE8EFA6" w:rsidR="000A08CF" w:rsidRPr="00AA2CAD" w:rsidRDefault="000A08CF" w:rsidP="00AA2CAD">
            <w:pPr>
              <w:rPr>
                <w:sz w:val="18"/>
                <w:szCs w:val="18"/>
              </w:rPr>
            </w:pPr>
            <w:r w:rsidRPr="00AA2CAD">
              <w:rPr>
                <w:sz w:val="18"/>
                <w:szCs w:val="18"/>
              </w:rPr>
              <w:t>Who Profits/Investigate/</w:t>
            </w:r>
            <w:r w:rsidR="001169B5" w:rsidRPr="00AA2CAD">
              <w:rPr>
                <w:sz w:val="18"/>
                <w:szCs w:val="18"/>
              </w:rPr>
              <w:t>OHCHR</w:t>
            </w:r>
          </w:p>
        </w:tc>
        <w:tc>
          <w:tcPr>
            <w:tcW w:w="1937" w:type="dxa"/>
            <w:noWrap/>
            <w:vAlign w:val="center"/>
            <w:hideMark/>
          </w:tcPr>
          <w:p w14:paraId="5F10648E" w14:textId="1364321F" w:rsidR="000A08CF" w:rsidRPr="00AA2CAD" w:rsidRDefault="000A08CF" w:rsidP="00AA2CAD">
            <w:pPr>
              <w:jc w:val="right"/>
              <w:rPr>
                <w:sz w:val="18"/>
                <w:szCs w:val="18"/>
              </w:rPr>
            </w:pPr>
            <w:r w:rsidRPr="00AA2CAD">
              <w:rPr>
                <w:sz w:val="18"/>
                <w:szCs w:val="18"/>
              </w:rPr>
              <w:t>5,565,940</w:t>
            </w:r>
          </w:p>
        </w:tc>
      </w:tr>
      <w:tr w:rsidR="000A08CF" w:rsidRPr="00AA2CAD" w14:paraId="536F53FA" w14:textId="77777777" w:rsidTr="00AA2CAD">
        <w:trPr>
          <w:trHeight w:hRule="exact" w:val="284"/>
        </w:trPr>
        <w:tc>
          <w:tcPr>
            <w:tcW w:w="3823" w:type="dxa"/>
            <w:noWrap/>
            <w:vAlign w:val="center"/>
            <w:hideMark/>
          </w:tcPr>
          <w:p w14:paraId="613866F9" w14:textId="2083E809" w:rsidR="000A08CF" w:rsidRPr="00AA2CAD" w:rsidRDefault="000A08CF" w:rsidP="00AA2CAD">
            <w:pPr>
              <w:rPr>
                <w:sz w:val="18"/>
                <w:szCs w:val="18"/>
              </w:rPr>
            </w:pPr>
            <w:r w:rsidRPr="00AA2CAD">
              <w:rPr>
                <w:sz w:val="18"/>
                <w:szCs w:val="18"/>
              </w:rPr>
              <w:t>LCIV Global Alpha Growth Paris Aligned Fund</w:t>
            </w:r>
          </w:p>
        </w:tc>
        <w:tc>
          <w:tcPr>
            <w:tcW w:w="1842" w:type="dxa"/>
            <w:noWrap/>
            <w:vAlign w:val="center"/>
            <w:hideMark/>
          </w:tcPr>
          <w:p w14:paraId="4BD35B5D" w14:textId="0DDA0F87" w:rsidR="000A08CF" w:rsidRPr="00AA2CAD" w:rsidRDefault="000A08CF" w:rsidP="00AA2CAD">
            <w:pPr>
              <w:rPr>
                <w:sz w:val="18"/>
                <w:szCs w:val="18"/>
              </w:rPr>
            </w:pPr>
            <w:r w:rsidRPr="00AA2CAD">
              <w:rPr>
                <w:sz w:val="18"/>
                <w:szCs w:val="18"/>
              </w:rPr>
              <w:t>Facebook, Inc</w:t>
            </w:r>
          </w:p>
        </w:tc>
        <w:tc>
          <w:tcPr>
            <w:tcW w:w="2174" w:type="dxa"/>
            <w:noWrap/>
            <w:vAlign w:val="center"/>
            <w:hideMark/>
          </w:tcPr>
          <w:p w14:paraId="0664D0C3" w14:textId="69A8267C"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64A97160" w14:textId="0338488E" w:rsidR="000A08CF" w:rsidRPr="00AA2CAD" w:rsidRDefault="000A08CF" w:rsidP="00AA2CAD">
            <w:pPr>
              <w:jc w:val="right"/>
              <w:rPr>
                <w:sz w:val="18"/>
                <w:szCs w:val="18"/>
              </w:rPr>
            </w:pPr>
            <w:r w:rsidRPr="00AA2CAD">
              <w:rPr>
                <w:sz w:val="18"/>
                <w:szCs w:val="18"/>
              </w:rPr>
              <w:t>6,423,727</w:t>
            </w:r>
          </w:p>
        </w:tc>
      </w:tr>
      <w:tr w:rsidR="000A08CF" w:rsidRPr="00AA2CAD" w14:paraId="022E3965" w14:textId="77777777" w:rsidTr="00AA2CAD">
        <w:trPr>
          <w:trHeight w:hRule="exact" w:val="284"/>
        </w:trPr>
        <w:tc>
          <w:tcPr>
            <w:tcW w:w="3823" w:type="dxa"/>
            <w:noWrap/>
            <w:vAlign w:val="center"/>
            <w:hideMark/>
          </w:tcPr>
          <w:p w14:paraId="70F5916F" w14:textId="0B2C23CA" w:rsidR="000A08CF" w:rsidRPr="00AA2CAD" w:rsidRDefault="000A08CF" w:rsidP="00AA2CAD">
            <w:pPr>
              <w:rPr>
                <w:sz w:val="18"/>
                <w:szCs w:val="18"/>
              </w:rPr>
            </w:pPr>
            <w:r w:rsidRPr="00AA2CAD">
              <w:rPr>
                <w:sz w:val="18"/>
                <w:szCs w:val="18"/>
              </w:rPr>
              <w:t>LCIV Global Alpha Growth Paris Aligned Fund</w:t>
            </w:r>
          </w:p>
        </w:tc>
        <w:tc>
          <w:tcPr>
            <w:tcW w:w="1842" w:type="dxa"/>
            <w:noWrap/>
            <w:vAlign w:val="center"/>
            <w:hideMark/>
          </w:tcPr>
          <w:p w14:paraId="17D93395" w14:textId="7C7D8BFE" w:rsidR="000A08CF" w:rsidRPr="00AA2CAD" w:rsidRDefault="000A08CF" w:rsidP="00AA2CAD">
            <w:pPr>
              <w:rPr>
                <w:sz w:val="18"/>
                <w:szCs w:val="18"/>
              </w:rPr>
            </w:pPr>
            <w:r w:rsidRPr="00AA2CAD">
              <w:rPr>
                <w:sz w:val="18"/>
                <w:szCs w:val="18"/>
              </w:rPr>
              <w:t>Microsoft Corporation</w:t>
            </w:r>
          </w:p>
        </w:tc>
        <w:tc>
          <w:tcPr>
            <w:tcW w:w="2174" w:type="dxa"/>
            <w:noWrap/>
            <w:vAlign w:val="center"/>
            <w:hideMark/>
          </w:tcPr>
          <w:p w14:paraId="029C901B" w14:textId="349EC8AC"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4B511F65" w14:textId="4AFCB146" w:rsidR="000A08CF" w:rsidRPr="00AA2CAD" w:rsidRDefault="000A08CF" w:rsidP="00AA2CAD">
            <w:pPr>
              <w:jc w:val="right"/>
              <w:rPr>
                <w:sz w:val="18"/>
                <w:szCs w:val="18"/>
              </w:rPr>
            </w:pPr>
            <w:r w:rsidRPr="00AA2CAD">
              <w:rPr>
                <w:sz w:val="18"/>
                <w:szCs w:val="18"/>
              </w:rPr>
              <w:t>10,834,764</w:t>
            </w:r>
          </w:p>
        </w:tc>
      </w:tr>
      <w:tr w:rsidR="00430744" w:rsidRPr="00AA2CAD" w14:paraId="0FD67A60" w14:textId="77777777" w:rsidTr="00AA2CAD">
        <w:trPr>
          <w:trHeight w:hRule="exact" w:val="284"/>
        </w:trPr>
        <w:tc>
          <w:tcPr>
            <w:tcW w:w="3823" w:type="dxa"/>
            <w:noWrap/>
            <w:vAlign w:val="center"/>
            <w:hideMark/>
          </w:tcPr>
          <w:p w14:paraId="425C77B0" w14:textId="66A4F832" w:rsidR="00430744" w:rsidRPr="00AA2CAD" w:rsidRDefault="000A08CF" w:rsidP="00AA2CAD">
            <w:pPr>
              <w:rPr>
                <w:sz w:val="18"/>
                <w:szCs w:val="18"/>
              </w:rPr>
            </w:pPr>
            <w:r w:rsidRPr="00AA2CAD">
              <w:rPr>
                <w:sz w:val="18"/>
                <w:szCs w:val="18"/>
              </w:rPr>
              <w:t>LCIV Global Equity Focus Fund</w:t>
            </w:r>
          </w:p>
        </w:tc>
        <w:tc>
          <w:tcPr>
            <w:tcW w:w="1842" w:type="dxa"/>
            <w:noWrap/>
            <w:vAlign w:val="center"/>
            <w:hideMark/>
          </w:tcPr>
          <w:p w14:paraId="706863EB" w14:textId="405C6B6A" w:rsidR="00430744" w:rsidRPr="00AA2CAD" w:rsidRDefault="000A08CF" w:rsidP="00AA2CAD">
            <w:pPr>
              <w:rPr>
                <w:sz w:val="18"/>
                <w:szCs w:val="18"/>
              </w:rPr>
            </w:pPr>
            <w:r w:rsidRPr="00AA2CAD">
              <w:rPr>
                <w:sz w:val="18"/>
                <w:szCs w:val="18"/>
              </w:rPr>
              <w:t>Alphabet</w:t>
            </w:r>
          </w:p>
        </w:tc>
        <w:tc>
          <w:tcPr>
            <w:tcW w:w="2174" w:type="dxa"/>
            <w:noWrap/>
            <w:vAlign w:val="center"/>
            <w:hideMark/>
          </w:tcPr>
          <w:p w14:paraId="6FCE1C10" w14:textId="5348FCC0" w:rsidR="00430744" w:rsidRPr="00AA2CAD" w:rsidRDefault="000A08CF" w:rsidP="00AA2CAD">
            <w:pPr>
              <w:rPr>
                <w:sz w:val="18"/>
                <w:szCs w:val="18"/>
              </w:rPr>
            </w:pPr>
            <w:r w:rsidRPr="00AA2CAD">
              <w:rPr>
                <w:sz w:val="18"/>
                <w:szCs w:val="18"/>
              </w:rPr>
              <w:t>Investigate</w:t>
            </w:r>
          </w:p>
        </w:tc>
        <w:tc>
          <w:tcPr>
            <w:tcW w:w="1937" w:type="dxa"/>
            <w:noWrap/>
            <w:vAlign w:val="center"/>
            <w:hideMark/>
          </w:tcPr>
          <w:p w14:paraId="51178F04" w14:textId="6A589CAA" w:rsidR="00430744" w:rsidRPr="00AA2CAD" w:rsidRDefault="00430744" w:rsidP="00AA2CAD">
            <w:pPr>
              <w:jc w:val="right"/>
              <w:rPr>
                <w:sz w:val="18"/>
                <w:szCs w:val="18"/>
              </w:rPr>
            </w:pPr>
            <w:r w:rsidRPr="00AA2CAD">
              <w:rPr>
                <w:sz w:val="18"/>
                <w:szCs w:val="18"/>
              </w:rPr>
              <w:t>36,908,099</w:t>
            </w:r>
          </w:p>
        </w:tc>
      </w:tr>
      <w:tr w:rsidR="00430744" w:rsidRPr="00AA2CAD" w14:paraId="56FFC770" w14:textId="77777777" w:rsidTr="00AA2CAD">
        <w:trPr>
          <w:trHeight w:hRule="exact" w:val="284"/>
        </w:trPr>
        <w:tc>
          <w:tcPr>
            <w:tcW w:w="3823" w:type="dxa"/>
            <w:noWrap/>
            <w:vAlign w:val="center"/>
            <w:hideMark/>
          </w:tcPr>
          <w:p w14:paraId="32217A43" w14:textId="3EA465F1" w:rsidR="00430744" w:rsidRPr="00AA2CAD" w:rsidRDefault="000A08CF" w:rsidP="00AA2CAD">
            <w:pPr>
              <w:rPr>
                <w:sz w:val="18"/>
                <w:szCs w:val="18"/>
              </w:rPr>
            </w:pPr>
            <w:r w:rsidRPr="00AA2CAD">
              <w:rPr>
                <w:sz w:val="18"/>
                <w:szCs w:val="18"/>
              </w:rPr>
              <w:t>LCIV Global Equity Focus Fund</w:t>
            </w:r>
          </w:p>
        </w:tc>
        <w:tc>
          <w:tcPr>
            <w:tcW w:w="1842" w:type="dxa"/>
            <w:noWrap/>
            <w:vAlign w:val="center"/>
            <w:hideMark/>
          </w:tcPr>
          <w:p w14:paraId="495C1775" w14:textId="0ED3308F" w:rsidR="00430744" w:rsidRPr="00AA2CAD" w:rsidRDefault="000A08CF" w:rsidP="00AA2CAD">
            <w:pPr>
              <w:rPr>
                <w:sz w:val="18"/>
                <w:szCs w:val="18"/>
              </w:rPr>
            </w:pPr>
            <w:r w:rsidRPr="00AA2CAD">
              <w:rPr>
                <w:sz w:val="18"/>
                <w:szCs w:val="18"/>
              </w:rPr>
              <w:t>L3harris Techs.</w:t>
            </w:r>
          </w:p>
        </w:tc>
        <w:tc>
          <w:tcPr>
            <w:tcW w:w="2174" w:type="dxa"/>
            <w:noWrap/>
            <w:vAlign w:val="center"/>
            <w:hideMark/>
          </w:tcPr>
          <w:p w14:paraId="6CFCC967" w14:textId="6118EDCC" w:rsidR="00430744" w:rsidRPr="00AA2CAD" w:rsidRDefault="000A08CF" w:rsidP="00AA2CAD">
            <w:pPr>
              <w:rPr>
                <w:sz w:val="18"/>
                <w:szCs w:val="18"/>
              </w:rPr>
            </w:pPr>
            <w:r w:rsidRPr="00AA2CAD">
              <w:rPr>
                <w:sz w:val="18"/>
                <w:szCs w:val="18"/>
              </w:rPr>
              <w:t>Who Profits/Investigate</w:t>
            </w:r>
          </w:p>
        </w:tc>
        <w:tc>
          <w:tcPr>
            <w:tcW w:w="1937" w:type="dxa"/>
            <w:noWrap/>
            <w:vAlign w:val="center"/>
            <w:hideMark/>
          </w:tcPr>
          <w:p w14:paraId="38C775D2" w14:textId="79200B3B" w:rsidR="00430744" w:rsidRPr="00AA2CAD" w:rsidRDefault="00430744" w:rsidP="00AA2CAD">
            <w:pPr>
              <w:jc w:val="right"/>
              <w:rPr>
                <w:sz w:val="18"/>
                <w:szCs w:val="18"/>
              </w:rPr>
            </w:pPr>
            <w:r w:rsidRPr="00AA2CAD">
              <w:rPr>
                <w:sz w:val="18"/>
                <w:szCs w:val="18"/>
              </w:rPr>
              <w:t>34,897,071</w:t>
            </w:r>
          </w:p>
        </w:tc>
      </w:tr>
      <w:tr w:rsidR="000A08CF" w:rsidRPr="00AA2CAD" w14:paraId="0A5BE13B" w14:textId="77777777" w:rsidTr="00AA2CAD">
        <w:trPr>
          <w:trHeight w:hRule="exact" w:val="284"/>
        </w:trPr>
        <w:tc>
          <w:tcPr>
            <w:tcW w:w="3823" w:type="dxa"/>
            <w:noWrap/>
            <w:vAlign w:val="center"/>
            <w:hideMark/>
          </w:tcPr>
          <w:p w14:paraId="2D92FED6" w14:textId="640939F5"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7B4727D6" w14:textId="366A0587" w:rsidR="000A08CF" w:rsidRPr="00AA2CAD" w:rsidRDefault="000A08CF" w:rsidP="00AA2CAD">
            <w:pPr>
              <w:rPr>
                <w:sz w:val="18"/>
                <w:szCs w:val="18"/>
              </w:rPr>
            </w:pPr>
            <w:r w:rsidRPr="00AA2CAD">
              <w:rPr>
                <w:sz w:val="18"/>
                <w:szCs w:val="18"/>
              </w:rPr>
              <w:t>Abb Ltd</w:t>
            </w:r>
          </w:p>
        </w:tc>
        <w:tc>
          <w:tcPr>
            <w:tcW w:w="2174" w:type="dxa"/>
            <w:noWrap/>
            <w:vAlign w:val="center"/>
            <w:hideMark/>
          </w:tcPr>
          <w:p w14:paraId="73D0439C" w14:textId="236AC565" w:rsidR="000A08CF" w:rsidRPr="00AA2CAD" w:rsidRDefault="000A08CF" w:rsidP="00AA2CAD">
            <w:pPr>
              <w:rPr>
                <w:sz w:val="18"/>
                <w:szCs w:val="18"/>
              </w:rPr>
            </w:pPr>
            <w:r w:rsidRPr="00AA2CAD">
              <w:rPr>
                <w:sz w:val="18"/>
                <w:szCs w:val="18"/>
              </w:rPr>
              <w:t>Who Profits/Investigate</w:t>
            </w:r>
          </w:p>
        </w:tc>
        <w:tc>
          <w:tcPr>
            <w:tcW w:w="1937" w:type="dxa"/>
            <w:noWrap/>
            <w:vAlign w:val="center"/>
            <w:hideMark/>
          </w:tcPr>
          <w:p w14:paraId="17BEB614" w14:textId="268285C2" w:rsidR="000A08CF" w:rsidRPr="00AA2CAD" w:rsidRDefault="000A08CF" w:rsidP="00AA2CAD">
            <w:pPr>
              <w:jc w:val="right"/>
              <w:rPr>
                <w:sz w:val="18"/>
                <w:szCs w:val="18"/>
              </w:rPr>
            </w:pPr>
            <w:r w:rsidRPr="00AA2CAD">
              <w:rPr>
                <w:sz w:val="18"/>
                <w:szCs w:val="18"/>
              </w:rPr>
              <w:t>103,885</w:t>
            </w:r>
          </w:p>
        </w:tc>
      </w:tr>
      <w:tr w:rsidR="000A08CF" w:rsidRPr="00AA2CAD" w14:paraId="3C22947D" w14:textId="77777777" w:rsidTr="00AA2CAD">
        <w:trPr>
          <w:trHeight w:hRule="exact" w:val="284"/>
        </w:trPr>
        <w:tc>
          <w:tcPr>
            <w:tcW w:w="3823" w:type="dxa"/>
            <w:noWrap/>
            <w:vAlign w:val="center"/>
            <w:hideMark/>
          </w:tcPr>
          <w:p w14:paraId="01DC3E3F" w14:textId="3A73AF09"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794CB7FF" w14:textId="297EEE3A" w:rsidR="000A08CF" w:rsidRPr="00AA2CAD" w:rsidRDefault="000A08CF" w:rsidP="00AA2CAD">
            <w:pPr>
              <w:rPr>
                <w:sz w:val="18"/>
                <w:szCs w:val="18"/>
              </w:rPr>
            </w:pPr>
            <w:r w:rsidRPr="00AA2CAD">
              <w:rPr>
                <w:sz w:val="18"/>
                <w:szCs w:val="18"/>
              </w:rPr>
              <w:t>Albemarle Corporation</w:t>
            </w:r>
          </w:p>
        </w:tc>
        <w:tc>
          <w:tcPr>
            <w:tcW w:w="2174" w:type="dxa"/>
            <w:noWrap/>
            <w:vAlign w:val="center"/>
            <w:hideMark/>
          </w:tcPr>
          <w:p w14:paraId="0F3BABED" w14:textId="7D17E7C4" w:rsidR="000A08CF" w:rsidRPr="00AA2CAD" w:rsidRDefault="000A08CF" w:rsidP="00AA2CAD">
            <w:pPr>
              <w:rPr>
                <w:sz w:val="18"/>
                <w:szCs w:val="18"/>
              </w:rPr>
            </w:pPr>
            <w:r w:rsidRPr="00AA2CAD">
              <w:rPr>
                <w:sz w:val="18"/>
                <w:szCs w:val="18"/>
              </w:rPr>
              <w:t>Who Profits</w:t>
            </w:r>
          </w:p>
        </w:tc>
        <w:tc>
          <w:tcPr>
            <w:tcW w:w="1937" w:type="dxa"/>
            <w:noWrap/>
            <w:vAlign w:val="center"/>
            <w:hideMark/>
          </w:tcPr>
          <w:p w14:paraId="7F3F5812" w14:textId="0301E0E4" w:rsidR="000A08CF" w:rsidRPr="00AA2CAD" w:rsidRDefault="000A08CF" w:rsidP="00AA2CAD">
            <w:pPr>
              <w:jc w:val="right"/>
              <w:rPr>
                <w:sz w:val="18"/>
                <w:szCs w:val="18"/>
              </w:rPr>
            </w:pPr>
            <w:r w:rsidRPr="00AA2CAD">
              <w:rPr>
                <w:sz w:val="18"/>
                <w:szCs w:val="18"/>
              </w:rPr>
              <w:t>9,175,209</w:t>
            </w:r>
          </w:p>
        </w:tc>
      </w:tr>
      <w:tr w:rsidR="000A08CF" w:rsidRPr="00AA2CAD" w14:paraId="58999E6D" w14:textId="77777777" w:rsidTr="00AA2CAD">
        <w:trPr>
          <w:trHeight w:hRule="exact" w:val="284"/>
        </w:trPr>
        <w:tc>
          <w:tcPr>
            <w:tcW w:w="3823" w:type="dxa"/>
            <w:noWrap/>
            <w:vAlign w:val="center"/>
            <w:hideMark/>
          </w:tcPr>
          <w:p w14:paraId="15A75342" w14:textId="68883534"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4F31C844" w14:textId="1282820B" w:rsidR="000A08CF" w:rsidRPr="00AA2CAD" w:rsidRDefault="000A08CF" w:rsidP="00AA2CAD">
            <w:pPr>
              <w:rPr>
                <w:sz w:val="18"/>
                <w:szCs w:val="18"/>
              </w:rPr>
            </w:pPr>
            <w:r w:rsidRPr="00AA2CAD">
              <w:rPr>
                <w:sz w:val="18"/>
                <w:szCs w:val="18"/>
              </w:rPr>
              <w:t>Alphabet</w:t>
            </w:r>
          </w:p>
        </w:tc>
        <w:tc>
          <w:tcPr>
            <w:tcW w:w="2174" w:type="dxa"/>
            <w:noWrap/>
            <w:vAlign w:val="center"/>
            <w:hideMark/>
          </w:tcPr>
          <w:p w14:paraId="43DCC8DF" w14:textId="6FC408B9"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0812E9A2" w14:textId="4E454F83" w:rsidR="000A08CF" w:rsidRPr="00AA2CAD" w:rsidRDefault="000A08CF" w:rsidP="00AA2CAD">
            <w:pPr>
              <w:jc w:val="right"/>
              <w:rPr>
                <w:sz w:val="18"/>
                <w:szCs w:val="18"/>
              </w:rPr>
            </w:pPr>
            <w:r w:rsidRPr="00AA2CAD">
              <w:rPr>
                <w:sz w:val="18"/>
                <w:szCs w:val="18"/>
              </w:rPr>
              <w:t>35,780,652</w:t>
            </w:r>
          </w:p>
        </w:tc>
      </w:tr>
      <w:tr w:rsidR="000A08CF" w:rsidRPr="00AA2CAD" w14:paraId="6EE302E4" w14:textId="77777777" w:rsidTr="00AA2CAD">
        <w:trPr>
          <w:trHeight w:hRule="exact" w:val="284"/>
        </w:trPr>
        <w:tc>
          <w:tcPr>
            <w:tcW w:w="3823" w:type="dxa"/>
            <w:noWrap/>
            <w:vAlign w:val="center"/>
            <w:hideMark/>
          </w:tcPr>
          <w:p w14:paraId="185FACBE" w14:textId="3390EBE1"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2972B324" w14:textId="0B6BDB60" w:rsidR="000A08CF" w:rsidRPr="00AA2CAD" w:rsidRDefault="000A08CF" w:rsidP="00AA2CAD">
            <w:pPr>
              <w:rPr>
                <w:sz w:val="18"/>
                <w:szCs w:val="18"/>
              </w:rPr>
            </w:pPr>
            <w:r w:rsidRPr="00AA2CAD">
              <w:rPr>
                <w:sz w:val="18"/>
                <w:szCs w:val="18"/>
              </w:rPr>
              <w:t>Barclays</w:t>
            </w:r>
          </w:p>
        </w:tc>
        <w:tc>
          <w:tcPr>
            <w:tcW w:w="2174" w:type="dxa"/>
            <w:noWrap/>
            <w:vAlign w:val="center"/>
            <w:hideMark/>
          </w:tcPr>
          <w:p w14:paraId="304F35CF" w14:textId="77DDD07E" w:rsidR="000A08CF" w:rsidRPr="00AA2CAD" w:rsidRDefault="000A08CF" w:rsidP="00AA2CAD">
            <w:pPr>
              <w:rPr>
                <w:sz w:val="18"/>
                <w:szCs w:val="18"/>
              </w:rPr>
            </w:pPr>
            <w:r w:rsidRPr="00AA2CAD">
              <w:rPr>
                <w:sz w:val="18"/>
                <w:szCs w:val="18"/>
              </w:rPr>
              <w:t>Who Profits</w:t>
            </w:r>
          </w:p>
        </w:tc>
        <w:tc>
          <w:tcPr>
            <w:tcW w:w="1937" w:type="dxa"/>
            <w:noWrap/>
            <w:vAlign w:val="center"/>
            <w:hideMark/>
          </w:tcPr>
          <w:p w14:paraId="69D015D9" w14:textId="57E18F88" w:rsidR="000A08CF" w:rsidRPr="00AA2CAD" w:rsidRDefault="000A08CF" w:rsidP="00AA2CAD">
            <w:pPr>
              <w:jc w:val="right"/>
              <w:rPr>
                <w:sz w:val="18"/>
                <w:szCs w:val="18"/>
              </w:rPr>
            </w:pPr>
            <w:r w:rsidRPr="00AA2CAD">
              <w:rPr>
                <w:sz w:val="18"/>
                <w:szCs w:val="18"/>
              </w:rPr>
              <w:t>8,729,267</w:t>
            </w:r>
          </w:p>
        </w:tc>
      </w:tr>
      <w:tr w:rsidR="000A08CF" w:rsidRPr="00AA2CAD" w14:paraId="58A6846B" w14:textId="77777777" w:rsidTr="00AA2CAD">
        <w:trPr>
          <w:trHeight w:hRule="exact" w:val="284"/>
        </w:trPr>
        <w:tc>
          <w:tcPr>
            <w:tcW w:w="3823" w:type="dxa"/>
            <w:noWrap/>
            <w:vAlign w:val="center"/>
            <w:hideMark/>
          </w:tcPr>
          <w:p w14:paraId="15F2D599" w14:textId="329C1DCB"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1FF9104C" w14:textId="716E2F90" w:rsidR="000A08CF" w:rsidRPr="00AA2CAD" w:rsidRDefault="000A08CF" w:rsidP="00AA2CAD">
            <w:pPr>
              <w:rPr>
                <w:sz w:val="18"/>
                <w:szCs w:val="18"/>
              </w:rPr>
            </w:pPr>
            <w:r w:rsidRPr="00AA2CAD">
              <w:rPr>
                <w:sz w:val="18"/>
                <w:szCs w:val="18"/>
              </w:rPr>
              <w:t>Microsoft Corporation</w:t>
            </w:r>
          </w:p>
        </w:tc>
        <w:tc>
          <w:tcPr>
            <w:tcW w:w="2174" w:type="dxa"/>
            <w:noWrap/>
            <w:vAlign w:val="center"/>
            <w:hideMark/>
          </w:tcPr>
          <w:p w14:paraId="30F2F28D" w14:textId="10B631F3" w:rsidR="000A08CF" w:rsidRPr="00AA2CAD" w:rsidRDefault="000A08CF" w:rsidP="00AA2CAD">
            <w:pPr>
              <w:rPr>
                <w:sz w:val="18"/>
                <w:szCs w:val="18"/>
              </w:rPr>
            </w:pPr>
            <w:r w:rsidRPr="00AA2CAD">
              <w:rPr>
                <w:sz w:val="18"/>
                <w:szCs w:val="18"/>
              </w:rPr>
              <w:t>Investigate</w:t>
            </w:r>
          </w:p>
        </w:tc>
        <w:tc>
          <w:tcPr>
            <w:tcW w:w="1937" w:type="dxa"/>
            <w:noWrap/>
            <w:vAlign w:val="center"/>
            <w:hideMark/>
          </w:tcPr>
          <w:p w14:paraId="734FD4E0" w14:textId="1BD94119" w:rsidR="000A08CF" w:rsidRPr="00AA2CAD" w:rsidRDefault="000A08CF" w:rsidP="00AA2CAD">
            <w:pPr>
              <w:jc w:val="right"/>
              <w:rPr>
                <w:sz w:val="18"/>
                <w:szCs w:val="18"/>
              </w:rPr>
            </w:pPr>
            <w:r w:rsidRPr="00AA2CAD">
              <w:rPr>
                <w:sz w:val="18"/>
                <w:szCs w:val="18"/>
              </w:rPr>
              <w:t>34,437,609</w:t>
            </w:r>
          </w:p>
        </w:tc>
      </w:tr>
      <w:tr w:rsidR="000A08CF" w:rsidRPr="00AA2CAD" w14:paraId="4DCCF42F" w14:textId="77777777" w:rsidTr="00AA2CAD">
        <w:trPr>
          <w:trHeight w:hRule="exact" w:val="284"/>
        </w:trPr>
        <w:tc>
          <w:tcPr>
            <w:tcW w:w="3823" w:type="dxa"/>
            <w:noWrap/>
            <w:vAlign w:val="center"/>
            <w:hideMark/>
          </w:tcPr>
          <w:p w14:paraId="0732DE35" w14:textId="0693C7FD" w:rsidR="000A08CF" w:rsidRPr="00AA2CAD" w:rsidRDefault="000A08CF" w:rsidP="00AA2CAD">
            <w:pPr>
              <w:rPr>
                <w:sz w:val="18"/>
                <w:szCs w:val="18"/>
              </w:rPr>
            </w:pPr>
            <w:r w:rsidRPr="00AA2CAD">
              <w:rPr>
                <w:sz w:val="18"/>
                <w:szCs w:val="18"/>
              </w:rPr>
              <w:t>LCIV Global Equity Fund</w:t>
            </w:r>
          </w:p>
        </w:tc>
        <w:tc>
          <w:tcPr>
            <w:tcW w:w="1842" w:type="dxa"/>
            <w:noWrap/>
            <w:vAlign w:val="center"/>
            <w:hideMark/>
          </w:tcPr>
          <w:p w14:paraId="458348DB" w14:textId="3AF60ED8" w:rsidR="000A08CF" w:rsidRPr="00AA2CAD" w:rsidRDefault="000A08CF" w:rsidP="00AA2CAD">
            <w:pPr>
              <w:rPr>
                <w:sz w:val="18"/>
                <w:szCs w:val="18"/>
              </w:rPr>
            </w:pPr>
            <w:r w:rsidRPr="00AA2CAD">
              <w:rPr>
                <w:sz w:val="18"/>
                <w:szCs w:val="18"/>
              </w:rPr>
              <w:t xml:space="preserve">Sony Corporation </w:t>
            </w:r>
          </w:p>
        </w:tc>
        <w:tc>
          <w:tcPr>
            <w:tcW w:w="2174" w:type="dxa"/>
            <w:noWrap/>
            <w:vAlign w:val="center"/>
            <w:hideMark/>
          </w:tcPr>
          <w:p w14:paraId="588EDCD6" w14:textId="5B3B1DC0" w:rsidR="000A08CF" w:rsidRPr="00AA2CAD" w:rsidRDefault="000A08CF" w:rsidP="00AA2CAD">
            <w:pPr>
              <w:rPr>
                <w:sz w:val="18"/>
                <w:szCs w:val="18"/>
              </w:rPr>
            </w:pPr>
            <w:r w:rsidRPr="00AA2CAD">
              <w:rPr>
                <w:sz w:val="18"/>
                <w:szCs w:val="18"/>
              </w:rPr>
              <w:t>Who Profits/Investigate</w:t>
            </w:r>
          </w:p>
        </w:tc>
        <w:tc>
          <w:tcPr>
            <w:tcW w:w="1937" w:type="dxa"/>
            <w:noWrap/>
            <w:vAlign w:val="center"/>
            <w:hideMark/>
          </w:tcPr>
          <w:p w14:paraId="7BBAF16E" w14:textId="230BC474" w:rsidR="000A08CF" w:rsidRPr="00AA2CAD" w:rsidRDefault="000A08CF" w:rsidP="00AA2CAD">
            <w:pPr>
              <w:jc w:val="right"/>
              <w:rPr>
                <w:sz w:val="18"/>
                <w:szCs w:val="18"/>
              </w:rPr>
            </w:pPr>
            <w:r w:rsidRPr="00AA2CAD">
              <w:rPr>
                <w:sz w:val="18"/>
                <w:szCs w:val="18"/>
              </w:rPr>
              <w:t>18,051,373</w:t>
            </w:r>
          </w:p>
        </w:tc>
      </w:tr>
      <w:tr w:rsidR="00430744" w:rsidRPr="00AA2CAD" w14:paraId="323BF274" w14:textId="77777777" w:rsidTr="00AA2CAD">
        <w:trPr>
          <w:trHeight w:hRule="exact" w:val="284"/>
        </w:trPr>
        <w:tc>
          <w:tcPr>
            <w:tcW w:w="3823" w:type="dxa"/>
            <w:noWrap/>
            <w:vAlign w:val="center"/>
            <w:hideMark/>
          </w:tcPr>
          <w:p w14:paraId="4AC08637" w14:textId="0575833E" w:rsidR="00430744" w:rsidRPr="00AA2CAD" w:rsidRDefault="000A08CF" w:rsidP="00AA2CAD">
            <w:pPr>
              <w:rPr>
                <w:sz w:val="18"/>
                <w:szCs w:val="18"/>
              </w:rPr>
            </w:pPr>
            <w:r w:rsidRPr="00AA2CAD">
              <w:rPr>
                <w:sz w:val="18"/>
                <w:szCs w:val="18"/>
              </w:rPr>
              <w:t>LCIV Global Equity Core Fund *</w:t>
            </w:r>
          </w:p>
        </w:tc>
        <w:tc>
          <w:tcPr>
            <w:tcW w:w="1842" w:type="dxa"/>
            <w:noWrap/>
            <w:vAlign w:val="center"/>
            <w:hideMark/>
          </w:tcPr>
          <w:p w14:paraId="56E9CF56" w14:textId="1DD92CBE" w:rsidR="00430744" w:rsidRPr="00AA2CAD" w:rsidRDefault="000A08CF" w:rsidP="00AA2CAD">
            <w:pPr>
              <w:rPr>
                <w:sz w:val="18"/>
                <w:szCs w:val="18"/>
              </w:rPr>
            </w:pPr>
            <w:r w:rsidRPr="00AA2CAD">
              <w:rPr>
                <w:sz w:val="18"/>
                <w:szCs w:val="18"/>
              </w:rPr>
              <w:t>Alphabet</w:t>
            </w:r>
          </w:p>
        </w:tc>
        <w:tc>
          <w:tcPr>
            <w:tcW w:w="2174" w:type="dxa"/>
            <w:noWrap/>
            <w:vAlign w:val="center"/>
            <w:hideMark/>
          </w:tcPr>
          <w:p w14:paraId="62C3EA89" w14:textId="3017F71A" w:rsidR="00430744" w:rsidRPr="00AA2CAD" w:rsidRDefault="000A08CF" w:rsidP="00AA2CAD">
            <w:pPr>
              <w:rPr>
                <w:sz w:val="18"/>
                <w:szCs w:val="18"/>
              </w:rPr>
            </w:pPr>
            <w:r w:rsidRPr="00AA2CAD">
              <w:rPr>
                <w:sz w:val="18"/>
                <w:szCs w:val="18"/>
              </w:rPr>
              <w:t>Investigate</w:t>
            </w:r>
          </w:p>
        </w:tc>
        <w:tc>
          <w:tcPr>
            <w:tcW w:w="1937" w:type="dxa"/>
            <w:noWrap/>
            <w:vAlign w:val="center"/>
            <w:hideMark/>
          </w:tcPr>
          <w:p w14:paraId="110970E0" w14:textId="3DBD6724" w:rsidR="00430744" w:rsidRPr="00AA2CAD" w:rsidRDefault="00C1336C" w:rsidP="00AA2CAD">
            <w:pPr>
              <w:jc w:val="right"/>
              <w:rPr>
                <w:sz w:val="18"/>
                <w:szCs w:val="18"/>
              </w:rPr>
            </w:pPr>
            <w:r w:rsidRPr="00AA2CAD">
              <w:rPr>
                <w:sz w:val="18"/>
                <w:szCs w:val="18"/>
              </w:rPr>
              <w:t>15,584,381</w:t>
            </w:r>
          </w:p>
        </w:tc>
      </w:tr>
      <w:tr w:rsidR="00AA2CAD" w:rsidRPr="00AA2CAD" w14:paraId="20115DD2" w14:textId="77777777" w:rsidTr="00AA2CAD">
        <w:trPr>
          <w:trHeight w:hRule="exact" w:val="284"/>
        </w:trPr>
        <w:tc>
          <w:tcPr>
            <w:tcW w:w="3823" w:type="dxa"/>
            <w:noWrap/>
            <w:vAlign w:val="center"/>
            <w:hideMark/>
          </w:tcPr>
          <w:p w14:paraId="40D12501" w14:textId="6D049EFF" w:rsidR="00AA2CAD" w:rsidRPr="00AA2CAD" w:rsidRDefault="00AA2CAD" w:rsidP="00AA2CAD">
            <w:pPr>
              <w:rPr>
                <w:sz w:val="18"/>
                <w:szCs w:val="18"/>
              </w:rPr>
            </w:pPr>
            <w:r w:rsidRPr="00AA2CAD">
              <w:rPr>
                <w:sz w:val="18"/>
                <w:szCs w:val="18"/>
              </w:rPr>
              <w:t>LCIV Global Equity Core Fund *</w:t>
            </w:r>
          </w:p>
        </w:tc>
        <w:tc>
          <w:tcPr>
            <w:tcW w:w="1842" w:type="dxa"/>
            <w:noWrap/>
            <w:vAlign w:val="center"/>
            <w:hideMark/>
          </w:tcPr>
          <w:p w14:paraId="3285818A" w14:textId="0BD629C2" w:rsidR="00AA2CAD" w:rsidRPr="00AA2CAD" w:rsidRDefault="00AA2CAD" w:rsidP="00AA2CAD">
            <w:pPr>
              <w:rPr>
                <w:sz w:val="18"/>
                <w:szCs w:val="18"/>
              </w:rPr>
            </w:pPr>
            <w:r w:rsidRPr="00AA2CAD">
              <w:rPr>
                <w:sz w:val="18"/>
                <w:szCs w:val="18"/>
              </w:rPr>
              <w:t>Microsoft Corporation</w:t>
            </w:r>
          </w:p>
        </w:tc>
        <w:tc>
          <w:tcPr>
            <w:tcW w:w="2174" w:type="dxa"/>
            <w:noWrap/>
            <w:vAlign w:val="center"/>
            <w:hideMark/>
          </w:tcPr>
          <w:p w14:paraId="46C74D5F" w14:textId="2D5189EE" w:rsidR="00AA2CAD" w:rsidRPr="00AA2CAD" w:rsidRDefault="00AA2CAD" w:rsidP="00AA2CAD">
            <w:pPr>
              <w:rPr>
                <w:sz w:val="18"/>
                <w:szCs w:val="18"/>
              </w:rPr>
            </w:pPr>
            <w:r w:rsidRPr="00AA2CAD">
              <w:rPr>
                <w:sz w:val="18"/>
                <w:szCs w:val="18"/>
              </w:rPr>
              <w:t>Investigate</w:t>
            </w:r>
          </w:p>
        </w:tc>
        <w:tc>
          <w:tcPr>
            <w:tcW w:w="1937" w:type="dxa"/>
            <w:noWrap/>
            <w:vAlign w:val="center"/>
          </w:tcPr>
          <w:p w14:paraId="66EFFEDD" w14:textId="5A987F20" w:rsidR="00AA2CAD" w:rsidRPr="00AA2CAD" w:rsidRDefault="00AA2CAD" w:rsidP="00AA2CAD">
            <w:pPr>
              <w:jc w:val="right"/>
              <w:rPr>
                <w:sz w:val="18"/>
                <w:szCs w:val="18"/>
              </w:rPr>
            </w:pPr>
            <w:r w:rsidRPr="00AA2CAD">
              <w:rPr>
                <w:sz w:val="18"/>
                <w:szCs w:val="18"/>
              </w:rPr>
              <w:t>36,636,713</w:t>
            </w:r>
          </w:p>
        </w:tc>
      </w:tr>
      <w:tr w:rsidR="00AA2CAD" w:rsidRPr="00AA2CAD" w14:paraId="31AD65ED" w14:textId="77777777" w:rsidTr="00AA2CAD">
        <w:trPr>
          <w:trHeight w:hRule="exact" w:val="284"/>
        </w:trPr>
        <w:tc>
          <w:tcPr>
            <w:tcW w:w="3823" w:type="dxa"/>
            <w:noWrap/>
            <w:vAlign w:val="center"/>
            <w:hideMark/>
          </w:tcPr>
          <w:p w14:paraId="55490C97" w14:textId="331498C7"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6E74EBBF" w14:textId="57F6B9CF" w:rsidR="00AA2CAD" w:rsidRPr="00AA2CAD" w:rsidRDefault="00AA2CAD" w:rsidP="00AA2CAD">
            <w:pPr>
              <w:rPr>
                <w:sz w:val="18"/>
                <w:szCs w:val="18"/>
              </w:rPr>
            </w:pPr>
            <w:proofErr w:type="spellStart"/>
            <w:r w:rsidRPr="00AA2CAD">
              <w:rPr>
                <w:sz w:val="18"/>
                <w:szCs w:val="18"/>
              </w:rPr>
              <w:t>Acs</w:t>
            </w:r>
            <w:proofErr w:type="spellEnd"/>
            <w:r w:rsidRPr="00AA2CAD">
              <w:rPr>
                <w:sz w:val="18"/>
                <w:szCs w:val="18"/>
              </w:rPr>
              <w:t xml:space="preserve"> </w:t>
            </w:r>
            <w:proofErr w:type="spellStart"/>
            <w:r w:rsidRPr="00AA2CAD">
              <w:rPr>
                <w:sz w:val="18"/>
                <w:szCs w:val="18"/>
              </w:rPr>
              <w:t>Actividades</w:t>
            </w:r>
            <w:proofErr w:type="spellEnd"/>
            <w:r w:rsidRPr="00AA2CAD">
              <w:rPr>
                <w:sz w:val="18"/>
                <w:szCs w:val="18"/>
              </w:rPr>
              <w:t xml:space="preserve"> </w:t>
            </w:r>
          </w:p>
        </w:tc>
        <w:tc>
          <w:tcPr>
            <w:tcW w:w="2174" w:type="dxa"/>
            <w:noWrap/>
            <w:vAlign w:val="center"/>
            <w:hideMark/>
          </w:tcPr>
          <w:p w14:paraId="1684F800" w14:textId="3C394BBC" w:rsidR="00AA2CAD" w:rsidRPr="00AA2CAD" w:rsidRDefault="00AA2CAD" w:rsidP="00AA2CAD">
            <w:pPr>
              <w:rPr>
                <w:sz w:val="18"/>
                <w:szCs w:val="18"/>
              </w:rPr>
            </w:pPr>
            <w:r w:rsidRPr="00AA2CAD">
              <w:rPr>
                <w:sz w:val="18"/>
                <w:szCs w:val="18"/>
              </w:rPr>
              <w:t>Investigate</w:t>
            </w:r>
          </w:p>
        </w:tc>
        <w:tc>
          <w:tcPr>
            <w:tcW w:w="1937" w:type="dxa"/>
            <w:noWrap/>
            <w:hideMark/>
          </w:tcPr>
          <w:p w14:paraId="062AC3FD" w14:textId="5EC1A5CE" w:rsidR="00AA2CAD" w:rsidRPr="00AA2CAD" w:rsidRDefault="00AA2CAD" w:rsidP="00AA2CAD">
            <w:pPr>
              <w:jc w:val="right"/>
              <w:rPr>
                <w:sz w:val="18"/>
                <w:szCs w:val="18"/>
              </w:rPr>
            </w:pPr>
            <w:r w:rsidRPr="00AA2CAD">
              <w:rPr>
                <w:sz w:val="18"/>
                <w:szCs w:val="18"/>
              </w:rPr>
              <w:t>264,749</w:t>
            </w:r>
          </w:p>
        </w:tc>
      </w:tr>
      <w:tr w:rsidR="00AA2CAD" w:rsidRPr="00AA2CAD" w14:paraId="659AF7B6" w14:textId="77777777" w:rsidTr="00AA2CAD">
        <w:trPr>
          <w:trHeight w:hRule="exact" w:val="284"/>
        </w:trPr>
        <w:tc>
          <w:tcPr>
            <w:tcW w:w="3823" w:type="dxa"/>
            <w:noWrap/>
            <w:vAlign w:val="center"/>
            <w:hideMark/>
          </w:tcPr>
          <w:p w14:paraId="642C0498" w14:textId="074F9496"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07B930B6" w14:textId="778DF114" w:rsidR="00AA2CAD" w:rsidRPr="00AA2CAD" w:rsidRDefault="00AA2CAD" w:rsidP="00AA2CAD">
            <w:pPr>
              <w:rPr>
                <w:sz w:val="18"/>
                <w:szCs w:val="18"/>
              </w:rPr>
            </w:pPr>
            <w:r w:rsidRPr="00AA2CAD">
              <w:rPr>
                <w:sz w:val="18"/>
                <w:szCs w:val="18"/>
              </w:rPr>
              <w:t>Altice</w:t>
            </w:r>
          </w:p>
        </w:tc>
        <w:tc>
          <w:tcPr>
            <w:tcW w:w="2174" w:type="dxa"/>
            <w:noWrap/>
            <w:vAlign w:val="center"/>
            <w:hideMark/>
          </w:tcPr>
          <w:p w14:paraId="668E6266" w14:textId="66C30F46" w:rsidR="00AA2CAD" w:rsidRPr="00AA2CAD" w:rsidRDefault="00AA2CAD" w:rsidP="00AA2CAD">
            <w:pPr>
              <w:rPr>
                <w:sz w:val="18"/>
                <w:szCs w:val="18"/>
              </w:rPr>
            </w:pPr>
            <w:r w:rsidRPr="00AA2CAD">
              <w:rPr>
                <w:sz w:val="18"/>
                <w:szCs w:val="18"/>
              </w:rPr>
              <w:t>Who Profits/OHCHR</w:t>
            </w:r>
          </w:p>
        </w:tc>
        <w:tc>
          <w:tcPr>
            <w:tcW w:w="1937" w:type="dxa"/>
            <w:noWrap/>
            <w:hideMark/>
          </w:tcPr>
          <w:p w14:paraId="7F61CA4D" w14:textId="74196B21" w:rsidR="00AA2CAD" w:rsidRPr="00AA2CAD" w:rsidRDefault="00AA2CAD" w:rsidP="00AA2CAD">
            <w:pPr>
              <w:jc w:val="right"/>
              <w:rPr>
                <w:sz w:val="18"/>
                <w:szCs w:val="18"/>
              </w:rPr>
            </w:pPr>
            <w:r w:rsidRPr="00AA2CAD">
              <w:rPr>
                <w:sz w:val="18"/>
                <w:szCs w:val="18"/>
              </w:rPr>
              <w:t>167,345</w:t>
            </w:r>
          </w:p>
        </w:tc>
      </w:tr>
      <w:tr w:rsidR="00AA2CAD" w:rsidRPr="00AA2CAD" w14:paraId="3AF4BDA0" w14:textId="77777777" w:rsidTr="00AA2CAD">
        <w:trPr>
          <w:trHeight w:hRule="exact" w:val="284"/>
        </w:trPr>
        <w:tc>
          <w:tcPr>
            <w:tcW w:w="3823" w:type="dxa"/>
            <w:noWrap/>
            <w:vAlign w:val="center"/>
            <w:hideMark/>
          </w:tcPr>
          <w:p w14:paraId="051DF82F" w14:textId="1A3E1F12"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69C6C83D" w14:textId="6EACEDDB" w:rsidR="00AA2CAD" w:rsidRPr="00AA2CAD" w:rsidRDefault="00AA2CAD" w:rsidP="00AA2CAD">
            <w:pPr>
              <w:rPr>
                <w:sz w:val="18"/>
                <w:szCs w:val="18"/>
              </w:rPr>
            </w:pPr>
            <w:r w:rsidRPr="00AA2CAD">
              <w:rPr>
                <w:sz w:val="18"/>
                <w:szCs w:val="18"/>
              </w:rPr>
              <w:t>Babcock</w:t>
            </w:r>
          </w:p>
        </w:tc>
        <w:tc>
          <w:tcPr>
            <w:tcW w:w="2174" w:type="dxa"/>
            <w:noWrap/>
            <w:vAlign w:val="center"/>
            <w:hideMark/>
          </w:tcPr>
          <w:p w14:paraId="09FCA999" w14:textId="2C60237B" w:rsidR="00AA2CAD" w:rsidRPr="00AA2CAD" w:rsidRDefault="00AA2CAD" w:rsidP="00AA2CAD">
            <w:pPr>
              <w:rPr>
                <w:sz w:val="18"/>
                <w:szCs w:val="18"/>
              </w:rPr>
            </w:pPr>
            <w:r w:rsidRPr="00AA2CAD">
              <w:rPr>
                <w:sz w:val="18"/>
                <w:szCs w:val="18"/>
              </w:rPr>
              <w:t>Who Profits</w:t>
            </w:r>
          </w:p>
        </w:tc>
        <w:tc>
          <w:tcPr>
            <w:tcW w:w="1937" w:type="dxa"/>
            <w:noWrap/>
            <w:hideMark/>
          </w:tcPr>
          <w:p w14:paraId="3D031977" w14:textId="5C594C75" w:rsidR="00AA2CAD" w:rsidRPr="00AA2CAD" w:rsidRDefault="00AA2CAD" w:rsidP="00AA2CAD">
            <w:pPr>
              <w:jc w:val="right"/>
              <w:rPr>
                <w:sz w:val="18"/>
                <w:szCs w:val="18"/>
              </w:rPr>
            </w:pPr>
            <w:r w:rsidRPr="00AA2CAD">
              <w:rPr>
                <w:sz w:val="18"/>
                <w:szCs w:val="18"/>
              </w:rPr>
              <w:t>874,602</w:t>
            </w:r>
          </w:p>
        </w:tc>
      </w:tr>
      <w:tr w:rsidR="00AA2CAD" w:rsidRPr="00AA2CAD" w14:paraId="35D9F775" w14:textId="77777777" w:rsidTr="00AA2CAD">
        <w:trPr>
          <w:trHeight w:hRule="exact" w:val="284"/>
        </w:trPr>
        <w:tc>
          <w:tcPr>
            <w:tcW w:w="3823" w:type="dxa"/>
            <w:noWrap/>
            <w:vAlign w:val="center"/>
            <w:hideMark/>
          </w:tcPr>
          <w:p w14:paraId="5A1B8355" w14:textId="510E34A7"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6C8A3668" w14:textId="57BFCC92" w:rsidR="00AA2CAD" w:rsidRPr="00AA2CAD" w:rsidRDefault="00AA2CAD" w:rsidP="00AA2CAD">
            <w:pPr>
              <w:rPr>
                <w:sz w:val="18"/>
                <w:szCs w:val="18"/>
              </w:rPr>
            </w:pPr>
            <w:r w:rsidRPr="00AA2CAD">
              <w:rPr>
                <w:sz w:val="18"/>
                <w:szCs w:val="18"/>
              </w:rPr>
              <w:t>Barclays</w:t>
            </w:r>
          </w:p>
        </w:tc>
        <w:tc>
          <w:tcPr>
            <w:tcW w:w="2174" w:type="dxa"/>
            <w:noWrap/>
            <w:vAlign w:val="center"/>
            <w:hideMark/>
          </w:tcPr>
          <w:p w14:paraId="0D562E84" w14:textId="532DB54E" w:rsidR="00AA2CAD" w:rsidRPr="00AA2CAD" w:rsidRDefault="00AA2CAD" w:rsidP="00AA2CAD">
            <w:pPr>
              <w:rPr>
                <w:sz w:val="18"/>
                <w:szCs w:val="18"/>
              </w:rPr>
            </w:pPr>
            <w:r w:rsidRPr="00AA2CAD">
              <w:rPr>
                <w:sz w:val="18"/>
                <w:szCs w:val="18"/>
              </w:rPr>
              <w:t>Who Profits</w:t>
            </w:r>
          </w:p>
        </w:tc>
        <w:tc>
          <w:tcPr>
            <w:tcW w:w="1937" w:type="dxa"/>
            <w:noWrap/>
            <w:hideMark/>
          </w:tcPr>
          <w:p w14:paraId="3E4345CF" w14:textId="1F747344" w:rsidR="00AA2CAD" w:rsidRPr="00AA2CAD" w:rsidRDefault="00AA2CAD" w:rsidP="00AA2CAD">
            <w:pPr>
              <w:jc w:val="right"/>
              <w:rPr>
                <w:sz w:val="18"/>
                <w:szCs w:val="18"/>
              </w:rPr>
            </w:pPr>
            <w:r w:rsidRPr="00AA2CAD">
              <w:rPr>
                <w:sz w:val="18"/>
                <w:szCs w:val="18"/>
              </w:rPr>
              <w:t>2,996,118</w:t>
            </w:r>
          </w:p>
        </w:tc>
      </w:tr>
      <w:tr w:rsidR="00AA2CAD" w:rsidRPr="00AA2CAD" w14:paraId="74C145DE" w14:textId="77777777" w:rsidTr="00AA2CAD">
        <w:trPr>
          <w:trHeight w:hRule="exact" w:val="284"/>
        </w:trPr>
        <w:tc>
          <w:tcPr>
            <w:tcW w:w="3823" w:type="dxa"/>
            <w:noWrap/>
            <w:vAlign w:val="center"/>
            <w:hideMark/>
          </w:tcPr>
          <w:p w14:paraId="05F71481" w14:textId="023AB196"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72DA59E6" w14:textId="25AE569D" w:rsidR="00AA2CAD" w:rsidRPr="00AA2CAD" w:rsidRDefault="00AA2CAD" w:rsidP="00AA2CAD">
            <w:pPr>
              <w:rPr>
                <w:sz w:val="18"/>
                <w:szCs w:val="18"/>
              </w:rPr>
            </w:pPr>
            <w:r w:rsidRPr="00AA2CAD">
              <w:rPr>
                <w:sz w:val="18"/>
                <w:szCs w:val="18"/>
              </w:rPr>
              <w:t>Boeing</w:t>
            </w:r>
          </w:p>
        </w:tc>
        <w:tc>
          <w:tcPr>
            <w:tcW w:w="2174" w:type="dxa"/>
            <w:noWrap/>
            <w:vAlign w:val="center"/>
            <w:hideMark/>
          </w:tcPr>
          <w:p w14:paraId="3DB7BFDF" w14:textId="521353E9" w:rsidR="00AA2CAD" w:rsidRPr="00AA2CAD" w:rsidRDefault="00AA2CAD" w:rsidP="00AA2CAD">
            <w:pPr>
              <w:rPr>
                <w:sz w:val="18"/>
                <w:szCs w:val="18"/>
              </w:rPr>
            </w:pPr>
            <w:r w:rsidRPr="00AA2CAD">
              <w:rPr>
                <w:sz w:val="18"/>
                <w:szCs w:val="18"/>
              </w:rPr>
              <w:t>Investigate</w:t>
            </w:r>
          </w:p>
        </w:tc>
        <w:tc>
          <w:tcPr>
            <w:tcW w:w="1937" w:type="dxa"/>
            <w:noWrap/>
            <w:hideMark/>
          </w:tcPr>
          <w:p w14:paraId="4D489678" w14:textId="5357D570" w:rsidR="00AA2CAD" w:rsidRPr="00AA2CAD" w:rsidRDefault="00AA2CAD" w:rsidP="00AA2CAD">
            <w:pPr>
              <w:jc w:val="right"/>
              <w:rPr>
                <w:sz w:val="18"/>
                <w:szCs w:val="18"/>
              </w:rPr>
            </w:pPr>
            <w:r w:rsidRPr="00AA2CAD">
              <w:rPr>
                <w:sz w:val="18"/>
                <w:szCs w:val="18"/>
              </w:rPr>
              <w:t>2,743,341</w:t>
            </w:r>
          </w:p>
        </w:tc>
      </w:tr>
      <w:tr w:rsidR="00AA2CAD" w:rsidRPr="00AA2CAD" w14:paraId="250CB8E8" w14:textId="77777777" w:rsidTr="00AA2CAD">
        <w:trPr>
          <w:trHeight w:hRule="exact" w:val="284"/>
        </w:trPr>
        <w:tc>
          <w:tcPr>
            <w:tcW w:w="3823" w:type="dxa"/>
            <w:noWrap/>
            <w:vAlign w:val="center"/>
            <w:hideMark/>
          </w:tcPr>
          <w:p w14:paraId="35A25268" w14:textId="528637FC"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2F4023E4" w14:textId="2DC6963D" w:rsidR="00AA2CAD" w:rsidRPr="00AA2CAD" w:rsidRDefault="00AA2CAD" w:rsidP="00AA2CAD">
            <w:pPr>
              <w:rPr>
                <w:sz w:val="18"/>
                <w:szCs w:val="18"/>
              </w:rPr>
            </w:pPr>
            <w:r w:rsidRPr="00AA2CAD">
              <w:rPr>
                <w:sz w:val="18"/>
                <w:szCs w:val="18"/>
              </w:rPr>
              <w:t>Bombardier</w:t>
            </w:r>
          </w:p>
        </w:tc>
        <w:tc>
          <w:tcPr>
            <w:tcW w:w="2174" w:type="dxa"/>
            <w:noWrap/>
            <w:vAlign w:val="center"/>
            <w:hideMark/>
          </w:tcPr>
          <w:p w14:paraId="4AADBFF0" w14:textId="2DE0983E" w:rsidR="00AA2CAD" w:rsidRPr="00AA2CAD" w:rsidRDefault="00AA2CAD" w:rsidP="00AA2CAD">
            <w:pPr>
              <w:rPr>
                <w:sz w:val="18"/>
                <w:szCs w:val="18"/>
              </w:rPr>
            </w:pPr>
            <w:r w:rsidRPr="00AA2CAD">
              <w:rPr>
                <w:sz w:val="18"/>
                <w:szCs w:val="18"/>
              </w:rPr>
              <w:t>Investigate</w:t>
            </w:r>
          </w:p>
        </w:tc>
        <w:tc>
          <w:tcPr>
            <w:tcW w:w="1937" w:type="dxa"/>
            <w:noWrap/>
            <w:hideMark/>
          </w:tcPr>
          <w:p w14:paraId="06A9396D" w14:textId="10C5E596" w:rsidR="00AA2CAD" w:rsidRPr="00AA2CAD" w:rsidRDefault="00AA2CAD" w:rsidP="00AA2CAD">
            <w:pPr>
              <w:jc w:val="right"/>
              <w:rPr>
                <w:sz w:val="18"/>
                <w:szCs w:val="18"/>
              </w:rPr>
            </w:pPr>
            <w:r w:rsidRPr="00AA2CAD">
              <w:rPr>
                <w:sz w:val="18"/>
                <w:szCs w:val="18"/>
              </w:rPr>
              <w:t>146,894</w:t>
            </w:r>
          </w:p>
        </w:tc>
      </w:tr>
      <w:tr w:rsidR="00AA2CAD" w:rsidRPr="00AA2CAD" w14:paraId="0617D80E" w14:textId="77777777" w:rsidTr="00AA2CAD">
        <w:trPr>
          <w:trHeight w:hRule="exact" w:val="284"/>
        </w:trPr>
        <w:tc>
          <w:tcPr>
            <w:tcW w:w="3823" w:type="dxa"/>
            <w:noWrap/>
            <w:vAlign w:val="center"/>
            <w:hideMark/>
          </w:tcPr>
          <w:p w14:paraId="741E597F" w14:textId="6B361AB8"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4B5C4656" w14:textId="5C4BBB26" w:rsidR="00AA2CAD" w:rsidRPr="00AA2CAD" w:rsidRDefault="00AA2CAD" w:rsidP="00AA2CAD">
            <w:pPr>
              <w:rPr>
                <w:sz w:val="18"/>
                <w:szCs w:val="18"/>
              </w:rPr>
            </w:pPr>
            <w:r w:rsidRPr="00AA2CAD">
              <w:rPr>
                <w:sz w:val="18"/>
                <w:szCs w:val="18"/>
              </w:rPr>
              <w:t>Booking Holdings</w:t>
            </w:r>
          </w:p>
        </w:tc>
        <w:tc>
          <w:tcPr>
            <w:tcW w:w="2174" w:type="dxa"/>
            <w:noWrap/>
            <w:vAlign w:val="center"/>
            <w:hideMark/>
          </w:tcPr>
          <w:p w14:paraId="2E032BFB" w14:textId="4E676BB3" w:rsidR="00AA2CAD" w:rsidRPr="00AA2CAD" w:rsidRDefault="00AA2CAD" w:rsidP="00AA2CAD">
            <w:pPr>
              <w:rPr>
                <w:sz w:val="18"/>
                <w:szCs w:val="18"/>
              </w:rPr>
            </w:pPr>
            <w:r w:rsidRPr="00AA2CAD">
              <w:rPr>
                <w:sz w:val="18"/>
                <w:szCs w:val="18"/>
              </w:rPr>
              <w:t>Who Profits/Investigate/OHCHR</w:t>
            </w:r>
          </w:p>
        </w:tc>
        <w:tc>
          <w:tcPr>
            <w:tcW w:w="1937" w:type="dxa"/>
            <w:noWrap/>
            <w:hideMark/>
          </w:tcPr>
          <w:p w14:paraId="4ABB14C0" w14:textId="4FDFA45A" w:rsidR="00AA2CAD" w:rsidRPr="00AA2CAD" w:rsidRDefault="00AA2CAD" w:rsidP="00AA2CAD">
            <w:pPr>
              <w:jc w:val="right"/>
              <w:rPr>
                <w:sz w:val="18"/>
                <w:szCs w:val="18"/>
              </w:rPr>
            </w:pPr>
            <w:r w:rsidRPr="00AA2CAD">
              <w:rPr>
                <w:sz w:val="18"/>
                <w:szCs w:val="18"/>
              </w:rPr>
              <w:t>258,806</w:t>
            </w:r>
          </w:p>
        </w:tc>
      </w:tr>
      <w:tr w:rsidR="00AA2CAD" w:rsidRPr="00AA2CAD" w14:paraId="06BA4C36" w14:textId="77777777" w:rsidTr="00AA2CAD">
        <w:trPr>
          <w:trHeight w:hRule="exact" w:val="284"/>
        </w:trPr>
        <w:tc>
          <w:tcPr>
            <w:tcW w:w="3823" w:type="dxa"/>
            <w:noWrap/>
            <w:vAlign w:val="center"/>
            <w:hideMark/>
          </w:tcPr>
          <w:p w14:paraId="5BC83D71" w14:textId="02C08C3F"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2BEA0646" w14:textId="3BA364ED" w:rsidR="00AA2CAD" w:rsidRPr="00AA2CAD" w:rsidRDefault="00AA2CAD" w:rsidP="00AA2CAD">
            <w:pPr>
              <w:rPr>
                <w:sz w:val="18"/>
                <w:szCs w:val="18"/>
              </w:rPr>
            </w:pPr>
            <w:r w:rsidRPr="00AA2CAD">
              <w:rPr>
                <w:sz w:val="18"/>
                <w:szCs w:val="18"/>
              </w:rPr>
              <w:t>Expedia</w:t>
            </w:r>
          </w:p>
        </w:tc>
        <w:tc>
          <w:tcPr>
            <w:tcW w:w="2174" w:type="dxa"/>
            <w:noWrap/>
            <w:vAlign w:val="center"/>
            <w:hideMark/>
          </w:tcPr>
          <w:p w14:paraId="4BFF6653" w14:textId="1B82479D" w:rsidR="00AA2CAD" w:rsidRPr="00AA2CAD" w:rsidRDefault="00AA2CAD" w:rsidP="00AA2CAD">
            <w:pPr>
              <w:rPr>
                <w:sz w:val="18"/>
                <w:szCs w:val="18"/>
              </w:rPr>
            </w:pPr>
            <w:r w:rsidRPr="00AA2CAD">
              <w:rPr>
                <w:sz w:val="18"/>
                <w:szCs w:val="18"/>
              </w:rPr>
              <w:t>Who Profits/Investigate/OHCHR</w:t>
            </w:r>
          </w:p>
        </w:tc>
        <w:tc>
          <w:tcPr>
            <w:tcW w:w="1937" w:type="dxa"/>
            <w:noWrap/>
            <w:hideMark/>
          </w:tcPr>
          <w:p w14:paraId="20054F27" w14:textId="0BEB9264" w:rsidR="00AA2CAD" w:rsidRPr="00AA2CAD" w:rsidRDefault="00AA2CAD" w:rsidP="00AA2CAD">
            <w:pPr>
              <w:jc w:val="right"/>
              <w:rPr>
                <w:sz w:val="18"/>
                <w:szCs w:val="18"/>
              </w:rPr>
            </w:pPr>
            <w:r w:rsidRPr="00AA2CAD">
              <w:rPr>
                <w:sz w:val="18"/>
                <w:szCs w:val="18"/>
              </w:rPr>
              <w:t>914,788</w:t>
            </w:r>
          </w:p>
        </w:tc>
      </w:tr>
      <w:tr w:rsidR="00AA2CAD" w:rsidRPr="00AA2CAD" w14:paraId="073C6DD4" w14:textId="77777777" w:rsidTr="00AA2CAD">
        <w:trPr>
          <w:trHeight w:hRule="exact" w:val="284"/>
        </w:trPr>
        <w:tc>
          <w:tcPr>
            <w:tcW w:w="3823" w:type="dxa"/>
            <w:noWrap/>
            <w:vAlign w:val="center"/>
            <w:hideMark/>
          </w:tcPr>
          <w:p w14:paraId="340A5A35" w14:textId="7F80A789"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0C336BA3" w14:textId="24C2EDD6" w:rsidR="00AA2CAD" w:rsidRPr="00AA2CAD" w:rsidRDefault="00AA2CAD" w:rsidP="00AA2CAD">
            <w:pPr>
              <w:rPr>
                <w:sz w:val="18"/>
                <w:szCs w:val="18"/>
              </w:rPr>
            </w:pPr>
            <w:r w:rsidRPr="00AA2CAD">
              <w:rPr>
                <w:sz w:val="18"/>
                <w:szCs w:val="18"/>
              </w:rPr>
              <w:t>Ford Motor</w:t>
            </w:r>
          </w:p>
        </w:tc>
        <w:tc>
          <w:tcPr>
            <w:tcW w:w="2174" w:type="dxa"/>
            <w:noWrap/>
            <w:vAlign w:val="center"/>
            <w:hideMark/>
          </w:tcPr>
          <w:p w14:paraId="2BB51186" w14:textId="3A7BE66B" w:rsidR="00AA2CAD" w:rsidRPr="00AA2CAD" w:rsidRDefault="00AA2CAD" w:rsidP="00AA2CAD">
            <w:pPr>
              <w:rPr>
                <w:sz w:val="18"/>
                <w:szCs w:val="18"/>
              </w:rPr>
            </w:pPr>
            <w:r w:rsidRPr="00AA2CAD">
              <w:rPr>
                <w:sz w:val="18"/>
                <w:szCs w:val="18"/>
              </w:rPr>
              <w:t>Investigate</w:t>
            </w:r>
          </w:p>
        </w:tc>
        <w:tc>
          <w:tcPr>
            <w:tcW w:w="1937" w:type="dxa"/>
            <w:noWrap/>
            <w:hideMark/>
          </w:tcPr>
          <w:p w14:paraId="5C6E1C31" w14:textId="47A5C678" w:rsidR="00AA2CAD" w:rsidRPr="00AA2CAD" w:rsidRDefault="00AA2CAD" w:rsidP="00AA2CAD">
            <w:pPr>
              <w:jc w:val="right"/>
              <w:rPr>
                <w:sz w:val="18"/>
                <w:szCs w:val="18"/>
              </w:rPr>
            </w:pPr>
            <w:r w:rsidRPr="00AA2CAD">
              <w:rPr>
                <w:sz w:val="18"/>
                <w:szCs w:val="18"/>
              </w:rPr>
              <w:t>912,255</w:t>
            </w:r>
          </w:p>
        </w:tc>
      </w:tr>
      <w:tr w:rsidR="00AA2CAD" w:rsidRPr="00AA2CAD" w14:paraId="44C389A0" w14:textId="77777777" w:rsidTr="00AA2CAD">
        <w:trPr>
          <w:trHeight w:hRule="exact" w:val="284"/>
        </w:trPr>
        <w:tc>
          <w:tcPr>
            <w:tcW w:w="3823" w:type="dxa"/>
            <w:noWrap/>
            <w:vAlign w:val="center"/>
            <w:hideMark/>
          </w:tcPr>
          <w:p w14:paraId="344E1251" w14:textId="1EA1A443"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32217F06" w14:textId="7E027438" w:rsidR="00AA2CAD" w:rsidRPr="00AA2CAD" w:rsidRDefault="00AA2CAD" w:rsidP="00AA2CAD">
            <w:pPr>
              <w:rPr>
                <w:sz w:val="18"/>
                <w:szCs w:val="18"/>
              </w:rPr>
            </w:pPr>
            <w:r w:rsidRPr="00AA2CAD">
              <w:rPr>
                <w:sz w:val="18"/>
                <w:szCs w:val="18"/>
              </w:rPr>
              <w:t>G4s Intl</w:t>
            </w:r>
          </w:p>
        </w:tc>
        <w:tc>
          <w:tcPr>
            <w:tcW w:w="2174" w:type="dxa"/>
            <w:noWrap/>
            <w:vAlign w:val="center"/>
            <w:hideMark/>
          </w:tcPr>
          <w:p w14:paraId="4A12DB9A" w14:textId="55C87FB4" w:rsidR="00AA2CAD" w:rsidRPr="00AA2CAD" w:rsidRDefault="00AA2CAD" w:rsidP="00AA2CAD">
            <w:pPr>
              <w:rPr>
                <w:sz w:val="18"/>
                <w:szCs w:val="18"/>
              </w:rPr>
            </w:pPr>
            <w:r w:rsidRPr="00AA2CAD">
              <w:rPr>
                <w:sz w:val="18"/>
                <w:szCs w:val="18"/>
              </w:rPr>
              <w:t>Who Profits/Investigate</w:t>
            </w:r>
          </w:p>
        </w:tc>
        <w:tc>
          <w:tcPr>
            <w:tcW w:w="1937" w:type="dxa"/>
            <w:noWrap/>
            <w:hideMark/>
          </w:tcPr>
          <w:p w14:paraId="507F754A" w14:textId="6875FD49" w:rsidR="00AA2CAD" w:rsidRPr="00AA2CAD" w:rsidRDefault="00AA2CAD" w:rsidP="00AA2CAD">
            <w:pPr>
              <w:jc w:val="right"/>
              <w:rPr>
                <w:sz w:val="18"/>
                <w:szCs w:val="18"/>
              </w:rPr>
            </w:pPr>
            <w:r w:rsidRPr="00AA2CAD">
              <w:rPr>
                <w:sz w:val="18"/>
                <w:szCs w:val="18"/>
              </w:rPr>
              <w:t>269,041</w:t>
            </w:r>
          </w:p>
        </w:tc>
      </w:tr>
      <w:tr w:rsidR="00AA2CAD" w:rsidRPr="00AA2CAD" w14:paraId="09FE584E" w14:textId="77777777" w:rsidTr="00AA2CAD">
        <w:trPr>
          <w:trHeight w:hRule="exact" w:val="284"/>
        </w:trPr>
        <w:tc>
          <w:tcPr>
            <w:tcW w:w="3823" w:type="dxa"/>
            <w:noWrap/>
            <w:vAlign w:val="center"/>
            <w:hideMark/>
          </w:tcPr>
          <w:p w14:paraId="1C838EA0" w14:textId="1257E6A5"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7E035F3F" w14:textId="5D27018E" w:rsidR="00AA2CAD" w:rsidRPr="00AA2CAD" w:rsidRDefault="00AA2CAD" w:rsidP="00AA2CAD">
            <w:pPr>
              <w:rPr>
                <w:sz w:val="18"/>
                <w:szCs w:val="18"/>
              </w:rPr>
            </w:pPr>
            <w:r w:rsidRPr="00AA2CAD">
              <w:rPr>
                <w:sz w:val="18"/>
                <w:szCs w:val="18"/>
              </w:rPr>
              <w:t>General Mills</w:t>
            </w:r>
          </w:p>
        </w:tc>
        <w:tc>
          <w:tcPr>
            <w:tcW w:w="2174" w:type="dxa"/>
            <w:noWrap/>
            <w:vAlign w:val="center"/>
            <w:hideMark/>
          </w:tcPr>
          <w:p w14:paraId="6269ECE5" w14:textId="1C0F9C6F" w:rsidR="00AA2CAD" w:rsidRPr="00AA2CAD" w:rsidRDefault="00AA2CAD" w:rsidP="00AA2CAD">
            <w:pPr>
              <w:rPr>
                <w:sz w:val="18"/>
                <w:szCs w:val="18"/>
              </w:rPr>
            </w:pPr>
            <w:r w:rsidRPr="00AA2CAD">
              <w:rPr>
                <w:sz w:val="18"/>
                <w:szCs w:val="18"/>
              </w:rPr>
              <w:t>Who Profits/Investigate/OHCHR</w:t>
            </w:r>
          </w:p>
        </w:tc>
        <w:tc>
          <w:tcPr>
            <w:tcW w:w="1937" w:type="dxa"/>
            <w:noWrap/>
            <w:hideMark/>
          </w:tcPr>
          <w:p w14:paraId="14B1F485" w14:textId="619CFA42" w:rsidR="00AA2CAD" w:rsidRPr="00AA2CAD" w:rsidRDefault="00AA2CAD" w:rsidP="00AA2CAD">
            <w:pPr>
              <w:jc w:val="right"/>
              <w:rPr>
                <w:sz w:val="18"/>
                <w:szCs w:val="18"/>
              </w:rPr>
            </w:pPr>
            <w:r w:rsidRPr="00AA2CAD">
              <w:rPr>
                <w:sz w:val="18"/>
                <w:szCs w:val="18"/>
              </w:rPr>
              <w:t>262,247</w:t>
            </w:r>
          </w:p>
        </w:tc>
      </w:tr>
      <w:tr w:rsidR="00AA2CAD" w:rsidRPr="00AA2CAD" w14:paraId="2EA833D5" w14:textId="77777777" w:rsidTr="00AA2CAD">
        <w:trPr>
          <w:trHeight w:hRule="exact" w:val="284"/>
        </w:trPr>
        <w:tc>
          <w:tcPr>
            <w:tcW w:w="3823" w:type="dxa"/>
            <w:noWrap/>
            <w:vAlign w:val="center"/>
            <w:hideMark/>
          </w:tcPr>
          <w:p w14:paraId="7D8E4E79" w14:textId="6A143C4B"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57656341" w14:textId="05362EED" w:rsidR="00AA2CAD" w:rsidRPr="00AA2CAD" w:rsidRDefault="00AA2CAD" w:rsidP="00AA2CAD">
            <w:pPr>
              <w:rPr>
                <w:sz w:val="18"/>
                <w:szCs w:val="18"/>
              </w:rPr>
            </w:pPr>
            <w:r w:rsidRPr="00AA2CAD">
              <w:rPr>
                <w:sz w:val="18"/>
                <w:szCs w:val="18"/>
              </w:rPr>
              <w:t>General Electric Co</w:t>
            </w:r>
          </w:p>
        </w:tc>
        <w:tc>
          <w:tcPr>
            <w:tcW w:w="2174" w:type="dxa"/>
            <w:noWrap/>
            <w:vAlign w:val="center"/>
            <w:hideMark/>
          </w:tcPr>
          <w:p w14:paraId="679D92A5" w14:textId="0F679A06" w:rsidR="00AA2CAD" w:rsidRPr="00AA2CAD" w:rsidRDefault="00AA2CAD" w:rsidP="00AA2CAD">
            <w:pPr>
              <w:rPr>
                <w:sz w:val="18"/>
                <w:szCs w:val="18"/>
              </w:rPr>
            </w:pPr>
            <w:r w:rsidRPr="00AA2CAD">
              <w:rPr>
                <w:sz w:val="18"/>
                <w:szCs w:val="18"/>
              </w:rPr>
              <w:t>Investigate</w:t>
            </w:r>
          </w:p>
        </w:tc>
        <w:tc>
          <w:tcPr>
            <w:tcW w:w="1937" w:type="dxa"/>
            <w:noWrap/>
            <w:hideMark/>
          </w:tcPr>
          <w:p w14:paraId="230FC293" w14:textId="667F1AD9" w:rsidR="00AA2CAD" w:rsidRPr="00AA2CAD" w:rsidRDefault="00AA2CAD" w:rsidP="00AA2CAD">
            <w:pPr>
              <w:jc w:val="right"/>
              <w:rPr>
                <w:sz w:val="18"/>
                <w:szCs w:val="18"/>
              </w:rPr>
            </w:pPr>
            <w:r w:rsidRPr="00AA2CAD">
              <w:rPr>
                <w:sz w:val="18"/>
                <w:szCs w:val="18"/>
              </w:rPr>
              <w:t>342,198</w:t>
            </w:r>
          </w:p>
        </w:tc>
      </w:tr>
      <w:tr w:rsidR="00AA2CAD" w:rsidRPr="00AA2CAD" w14:paraId="32463C5C" w14:textId="77777777" w:rsidTr="00AA2CAD">
        <w:trPr>
          <w:trHeight w:hRule="exact" w:val="284"/>
        </w:trPr>
        <w:tc>
          <w:tcPr>
            <w:tcW w:w="3823" w:type="dxa"/>
            <w:noWrap/>
            <w:vAlign w:val="center"/>
            <w:hideMark/>
          </w:tcPr>
          <w:p w14:paraId="05D92F39" w14:textId="07A84F4B"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77F56410" w14:textId="12B076C5" w:rsidR="00AA2CAD" w:rsidRPr="00AA2CAD" w:rsidRDefault="00AA2CAD" w:rsidP="00AA2CAD">
            <w:pPr>
              <w:rPr>
                <w:sz w:val="18"/>
                <w:szCs w:val="18"/>
              </w:rPr>
            </w:pPr>
            <w:proofErr w:type="spellStart"/>
            <w:r w:rsidRPr="00AA2CAD">
              <w:rPr>
                <w:sz w:val="18"/>
                <w:szCs w:val="18"/>
              </w:rPr>
              <w:t>Hsbc</w:t>
            </w:r>
            <w:proofErr w:type="spellEnd"/>
          </w:p>
        </w:tc>
        <w:tc>
          <w:tcPr>
            <w:tcW w:w="2174" w:type="dxa"/>
            <w:noWrap/>
            <w:vAlign w:val="center"/>
            <w:hideMark/>
          </w:tcPr>
          <w:p w14:paraId="1C0CA929" w14:textId="3E1AF4EC" w:rsidR="00AA2CAD" w:rsidRPr="00AA2CAD" w:rsidRDefault="00AA2CAD" w:rsidP="00AA2CAD">
            <w:pPr>
              <w:rPr>
                <w:sz w:val="18"/>
                <w:szCs w:val="18"/>
              </w:rPr>
            </w:pPr>
            <w:r w:rsidRPr="00AA2CAD">
              <w:rPr>
                <w:sz w:val="18"/>
                <w:szCs w:val="18"/>
              </w:rPr>
              <w:t>Who Profits</w:t>
            </w:r>
          </w:p>
        </w:tc>
        <w:tc>
          <w:tcPr>
            <w:tcW w:w="1937" w:type="dxa"/>
            <w:noWrap/>
            <w:hideMark/>
          </w:tcPr>
          <w:p w14:paraId="2CC23A60" w14:textId="6EA4105C" w:rsidR="00AA2CAD" w:rsidRPr="00AA2CAD" w:rsidRDefault="00AA2CAD" w:rsidP="00AA2CAD">
            <w:pPr>
              <w:jc w:val="right"/>
              <w:rPr>
                <w:sz w:val="18"/>
                <w:szCs w:val="18"/>
              </w:rPr>
            </w:pPr>
            <w:r w:rsidRPr="00AA2CAD">
              <w:rPr>
                <w:sz w:val="18"/>
                <w:szCs w:val="18"/>
              </w:rPr>
              <w:t>5,059,473</w:t>
            </w:r>
          </w:p>
        </w:tc>
      </w:tr>
      <w:tr w:rsidR="00AA2CAD" w:rsidRPr="00AA2CAD" w14:paraId="37C81037" w14:textId="77777777" w:rsidTr="00AA2CAD">
        <w:trPr>
          <w:trHeight w:hRule="exact" w:val="284"/>
        </w:trPr>
        <w:tc>
          <w:tcPr>
            <w:tcW w:w="3823" w:type="dxa"/>
            <w:noWrap/>
            <w:vAlign w:val="center"/>
            <w:hideMark/>
          </w:tcPr>
          <w:p w14:paraId="4B8653D6" w14:textId="36A065A1"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7B4B1E57" w14:textId="22CC7AAC" w:rsidR="00AA2CAD" w:rsidRPr="00AA2CAD" w:rsidRDefault="00AA2CAD" w:rsidP="00AA2CAD">
            <w:pPr>
              <w:rPr>
                <w:sz w:val="18"/>
                <w:szCs w:val="18"/>
              </w:rPr>
            </w:pPr>
            <w:r w:rsidRPr="00AA2CAD">
              <w:rPr>
                <w:sz w:val="18"/>
                <w:szCs w:val="18"/>
              </w:rPr>
              <w:t>Leidos</w:t>
            </w:r>
          </w:p>
        </w:tc>
        <w:tc>
          <w:tcPr>
            <w:tcW w:w="2174" w:type="dxa"/>
            <w:noWrap/>
            <w:vAlign w:val="center"/>
            <w:hideMark/>
          </w:tcPr>
          <w:p w14:paraId="0BD7FB80" w14:textId="7F20D29E" w:rsidR="00AA2CAD" w:rsidRPr="00AA2CAD" w:rsidRDefault="00AA2CAD" w:rsidP="00AA2CAD">
            <w:pPr>
              <w:rPr>
                <w:sz w:val="18"/>
                <w:szCs w:val="18"/>
              </w:rPr>
            </w:pPr>
            <w:r w:rsidRPr="00AA2CAD">
              <w:rPr>
                <w:sz w:val="18"/>
                <w:szCs w:val="18"/>
              </w:rPr>
              <w:t>Investigate</w:t>
            </w:r>
          </w:p>
        </w:tc>
        <w:tc>
          <w:tcPr>
            <w:tcW w:w="1937" w:type="dxa"/>
            <w:noWrap/>
            <w:hideMark/>
          </w:tcPr>
          <w:p w14:paraId="77D815C5" w14:textId="57DE5458" w:rsidR="00AA2CAD" w:rsidRPr="00AA2CAD" w:rsidRDefault="00AA2CAD" w:rsidP="00AA2CAD">
            <w:pPr>
              <w:jc w:val="right"/>
              <w:rPr>
                <w:sz w:val="18"/>
                <w:szCs w:val="18"/>
              </w:rPr>
            </w:pPr>
            <w:r w:rsidRPr="00AA2CAD">
              <w:rPr>
                <w:sz w:val="18"/>
                <w:szCs w:val="18"/>
              </w:rPr>
              <w:t>145,018</w:t>
            </w:r>
          </w:p>
        </w:tc>
      </w:tr>
      <w:tr w:rsidR="00AA2CAD" w:rsidRPr="00AA2CAD" w14:paraId="4A0B8948" w14:textId="77777777" w:rsidTr="00AA2CAD">
        <w:trPr>
          <w:trHeight w:hRule="exact" w:val="284"/>
        </w:trPr>
        <w:tc>
          <w:tcPr>
            <w:tcW w:w="3823" w:type="dxa"/>
            <w:noWrap/>
            <w:vAlign w:val="center"/>
            <w:hideMark/>
          </w:tcPr>
          <w:p w14:paraId="1122EC52" w14:textId="1EBCE056"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03D0AD35" w14:textId="6A691796" w:rsidR="00AA2CAD" w:rsidRPr="00AA2CAD" w:rsidRDefault="00AA2CAD" w:rsidP="00AA2CAD">
            <w:pPr>
              <w:rPr>
                <w:sz w:val="18"/>
                <w:szCs w:val="18"/>
              </w:rPr>
            </w:pPr>
            <w:r w:rsidRPr="00AA2CAD">
              <w:rPr>
                <w:sz w:val="18"/>
                <w:szCs w:val="18"/>
              </w:rPr>
              <w:t>Mitsubishi UFJ FI</w:t>
            </w:r>
          </w:p>
        </w:tc>
        <w:tc>
          <w:tcPr>
            <w:tcW w:w="2174" w:type="dxa"/>
            <w:noWrap/>
            <w:vAlign w:val="center"/>
            <w:hideMark/>
          </w:tcPr>
          <w:p w14:paraId="77916C32" w14:textId="33151BB4" w:rsidR="00AA2CAD" w:rsidRPr="00AA2CAD" w:rsidRDefault="00AA2CAD" w:rsidP="00AA2CAD">
            <w:pPr>
              <w:rPr>
                <w:sz w:val="18"/>
                <w:szCs w:val="18"/>
              </w:rPr>
            </w:pPr>
            <w:r w:rsidRPr="00AA2CAD">
              <w:rPr>
                <w:sz w:val="18"/>
                <w:szCs w:val="18"/>
              </w:rPr>
              <w:t>Who Profits/Investigate</w:t>
            </w:r>
          </w:p>
        </w:tc>
        <w:tc>
          <w:tcPr>
            <w:tcW w:w="1937" w:type="dxa"/>
            <w:noWrap/>
            <w:hideMark/>
          </w:tcPr>
          <w:p w14:paraId="20F09EDF" w14:textId="1E1AF4EB" w:rsidR="00AA2CAD" w:rsidRPr="00AA2CAD" w:rsidRDefault="00AA2CAD" w:rsidP="00AA2CAD">
            <w:pPr>
              <w:jc w:val="right"/>
              <w:rPr>
                <w:sz w:val="18"/>
                <w:szCs w:val="18"/>
              </w:rPr>
            </w:pPr>
            <w:r w:rsidRPr="00AA2CAD">
              <w:rPr>
                <w:sz w:val="18"/>
                <w:szCs w:val="18"/>
              </w:rPr>
              <w:t>1,150,335</w:t>
            </w:r>
          </w:p>
        </w:tc>
      </w:tr>
      <w:tr w:rsidR="00AA2CAD" w:rsidRPr="00AA2CAD" w14:paraId="42D822BD" w14:textId="77777777" w:rsidTr="00AA2CAD">
        <w:trPr>
          <w:trHeight w:hRule="exact" w:val="284"/>
        </w:trPr>
        <w:tc>
          <w:tcPr>
            <w:tcW w:w="3823" w:type="dxa"/>
            <w:noWrap/>
            <w:vAlign w:val="center"/>
            <w:hideMark/>
          </w:tcPr>
          <w:p w14:paraId="379E78CE" w14:textId="7515CEFC"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558D5505" w14:textId="26DC92FA" w:rsidR="00AA2CAD" w:rsidRPr="00AA2CAD" w:rsidRDefault="00AA2CAD" w:rsidP="00AA2CAD">
            <w:pPr>
              <w:rPr>
                <w:sz w:val="18"/>
                <w:szCs w:val="18"/>
              </w:rPr>
            </w:pPr>
            <w:r w:rsidRPr="00AA2CAD">
              <w:rPr>
                <w:sz w:val="18"/>
                <w:szCs w:val="18"/>
              </w:rPr>
              <w:t>Safran</w:t>
            </w:r>
          </w:p>
        </w:tc>
        <w:tc>
          <w:tcPr>
            <w:tcW w:w="2174" w:type="dxa"/>
            <w:noWrap/>
            <w:vAlign w:val="center"/>
            <w:hideMark/>
          </w:tcPr>
          <w:p w14:paraId="2A038705" w14:textId="38B9AB72" w:rsidR="00AA2CAD" w:rsidRPr="00AA2CAD" w:rsidRDefault="00AA2CAD" w:rsidP="00AA2CAD">
            <w:pPr>
              <w:rPr>
                <w:sz w:val="18"/>
                <w:szCs w:val="18"/>
              </w:rPr>
            </w:pPr>
            <w:r w:rsidRPr="00AA2CAD">
              <w:rPr>
                <w:sz w:val="18"/>
                <w:szCs w:val="18"/>
              </w:rPr>
              <w:t>Who Profits</w:t>
            </w:r>
          </w:p>
        </w:tc>
        <w:tc>
          <w:tcPr>
            <w:tcW w:w="1937" w:type="dxa"/>
            <w:noWrap/>
            <w:hideMark/>
          </w:tcPr>
          <w:p w14:paraId="645F9B5D" w14:textId="2EA480BD" w:rsidR="00AA2CAD" w:rsidRPr="00AA2CAD" w:rsidRDefault="00AA2CAD" w:rsidP="00AA2CAD">
            <w:pPr>
              <w:jc w:val="right"/>
              <w:rPr>
                <w:sz w:val="18"/>
                <w:szCs w:val="18"/>
              </w:rPr>
            </w:pPr>
            <w:r w:rsidRPr="00AA2CAD">
              <w:rPr>
                <w:sz w:val="18"/>
                <w:szCs w:val="18"/>
              </w:rPr>
              <w:t>343,999</w:t>
            </w:r>
          </w:p>
        </w:tc>
      </w:tr>
      <w:tr w:rsidR="00AA2CAD" w:rsidRPr="00AA2CAD" w14:paraId="7C2DA07E" w14:textId="77777777" w:rsidTr="00AA2CAD">
        <w:trPr>
          <w:trHeight w:hRule="exact" w:val="284"/>
        </w:trPr>
        <w:tc>
          <w:tcPr>
            <w:tcW w:w="3823" w:type="dxa"/>
            <w:noWrap/>
            <w:vAlign w:val="center"/>
            <w:hideMark/>
          </w:tcPr>
          <w:p w14:paraId="78B99256" w14:textId="3D6B1BD0" w:rsidR="00AA2CAD" w:rsidRPr="00AA2CAD" w:rsidRDefault="00AA2CAD" w:rsidP="00AA2CAD">
            <w:pPr>
              <w:rPr>
                <w:sz w:val="18"/>
                <w:szCs w:val="18"/>
              </w:rPr>
            </w:pPr>
            <w:r w:rsidRPr="00AA2CAD">
              <w:rPr>
                <w:sz w:val="18"/>
                <w:szCs w:val="18"/>
              </w:rPr>
              <w:t>LCIV Global Bond Fund</w:t>
            </w:r>
          </w:p>
        </w:tc>
        <w:tc>
          <w:tcPr>
            <w:tcW w:w="1842" w:type="dxa"/>
            <w:noWrap/>
            <w:vAlign w:val="center"/>
            <w:hideMark/>
          </w:tcPr>
          <w:p w14:paraId="022FD9BE" w14:textId="0FB9768F" w:rsidR="00AA2CAD" w:rsidRPr="00AA2CAD" w:rsidRDefault="00AA2CAD" w:rsidP="00AA2CAD">
            <w:pPr>
              <w:rPr>
                <w:sz w:val="18"/>
                <w:szCs w:val="18"/>
              </w:rPr>
            </w:pPr>
            <w:r w:rsidRPr="00AA2CAD">
              <w:rPr>
                <w:sz w:val="18"/>
                <w:szCs w:val="18"/>
              </w:rPr>
              <w:t xml:space="preserve">Toyota Industries </w:t>
            </w:r>
          </w:p>
        </w:tc>
        <w:tc>
          <w:tcPr>
            <w:tcW w:w="2174" w:type="dxa"/>
            <w:noWrap/>
            <w:vAlign w:val="center"/>
            <w:hideMark/>
          </w:tcPr>
          <w:p w14:paraId="00C1021A" w14:textId="57FC350F" w:rsidR="00AA2CAD" w:rsidRPr="00AA2CAD" w:rsidRDefault="00AA2CAD" w:rsidP="00AA2CAD">
            <w:pPr>
              <w:rPr>
                <w:sz w:val="18"/>
                <w:szCs w:val="18"/>
              </w:rPr>
            </w:pPr>
            <w:r w:rsidRPr="00AA2CAD">
              <w:rPr>
                <w:sz w:val="18"/>
                <w:szCs w:val="18"/>
              </w:rPr>
              <w:t>Investigate</w:t>
            </w:r>
          </w:p>
        </w:tc>
        <w:tc>
          <w:tcPr>
            <w:tcW w:w="1937" w:type="dxa"/>
            <w:noWrap/>
            <w:hideMark/>
          </w:tcPr>
          <w:p w14:paraId="077A5C25" w14:textId="22BF104B" w:rsidR="00AA2CAD" w:rsidRPr="00AA2CAD" w:rsidRDefault="00AA2CAD" w:rsidP="00AA2CAD">
            <w:pPr>
              <w:jc w:val="right"/>
              <w:rPr>
                <w:sz w:val="18"/>
                <w:szCs w:val="18"/>
              </w:rPr>
            </w:pPr>
            <w:r w:rsidRPr="00AA2CAD">
              <w:rPr>
                <w:sz w:val="18"/>
                <w:szCs w:val="18"/>
              </w:rPr>
              <w:t>1,231,240</w:t>
            </w:r>
          </w:p>
        </w:tc>
      </w:tr>
      <w:tr w:rsidR="00AA2CAD" w:rsidRPr="00AA2CAD" w14:paraId="5933C4D9" w14:textId="77777777" w:rsidTr="00AA2CAD">
        <w:trPr>
          <w:trHeight w:hRule="exact" w:val="284"/>
        </w:trPr>
        <w:tc>
          <w:tcPr>
            <w:tcW w:w="3823" w:type="dxa"/>
            <w:noWrap/>
            <w:vAlign w:val="center"/>
            <w:hideMark/>
          </w:tcPr>
          <w:p w14:paraId="7D730387" w14:textId="4017AA84" w:rsidR="00AA2CAD" w:rsidRPr="00AA2CAD" w:rsidRDefault="00AA2CAD" w:rsidP="00AA2CAD">
            <w:pPr>
              <w:rPr>
                <w:sz w:val="18"/>
                <w:szCs w:val="18"/>
              </w:rPr>
            </w:pPr>
            <w:r w:rsidRPr="00AA2CAD">
              <w:rPr>
                <w:sz w:val="18"/>
                <w:szCs w:val="18"/>
              </w:rPr>
              <w:t xml:space="preserve">LCIV Sustainable Equity Exclusion Fund </w:t>
            </w:r>
          </w:p>
        </w:tc>
        <w:tc>
          <w:tcPr>
            <w:tcW w:w="1842" w:type="dxa"/>
            <w:noWrap/>
            <w:vAlign w:val="center"/>
            <w:hideMark/>
          </w:tcPr>
          <w:p w14:paraId="405B4AE7" w14:textId="5A166112" w:rsidR="00AA2CAD" w:rsidRPr="00AA2CAD" w:rsidRDefault="00AA2CAD" w:rsidP="00AA2CAD">
            <w:pPr>
              <w:rPr>
                <w:sz w:val="18"/>
                <w:szCs w:val="18"/>
              </w:rPr>
            </w:pPr>
            <w:r w:rsidRPr="00AA2CAD">
              <w:rPr>
                <w:sz w:val="18"/>
                <w:szCs w:val="18"/>
              </w:rPr>
              <w:t>Alphabet</w:t>
            </w:r>
          </w:p>
        </w:tc>
        <w:tc>
          <w:tcPr>
            <w:tcW w:w="2174" w:type="dxa"/>
            <w:noWrap/>
            <w:vAlign w:val="center"/>
            <w:hideMark/>
          </w:tcPr>
          <w:p w14:paraId="09555950" w14:textId="5E930197" w:rsidR="00AA2CAD" w:rsidRPr="00AA2CAD" w:rsidRDefault="00AA2CAD" w:rsidP="00AA2CAD">
            <w:pPr>
              <w:rPr>
                <w:sz w:val="18"/>
                <w:szCs w:val="18"/>
              </w:rPr>
            </w:pPr>
            <w:r w:rsidRPr="00AA2CAD">
              <w:rPr>
                <w:sz w:val="18"/>
                <w:szCs w:val="18"/>
              </w:rPr>
              <w:t>Investigate</w:t>
            </w:r>
          </w:p>
        </w:tc>
        <w:tc>
          <w:tcPr>
            <w:tcW w:w="1937" w:type="dxa"/>
            <w:noWrap/>
            <w:hideMark/>
          </w:tcPr>
          <w:p w14:paraId="2A4FF9ED" w14:textId="48EC3841" w:rsidR="00AA2CAD" w:rsidRPr="00AA2CAD" w:rsidRDefault="00AA2CAD" w:rsidP="00AA2CAD">
            <w:pPr>
              <w:jc w:val="right"/>
              <w:rPr>
                <w:sz w:val="18"/>
                <w:szCs w:val="18"/>
              </w:rPr>
            </w:pPr>
            <w:r w:rsidRPr="00AA2CAD">
              <w:rPr>
                <w:sz w:val="18"/>
                <w:szCs w:val="18"/>
              </w:rPr>
              <w:t>22,615,461</w:t>
            </w:r>
          </w:p>
        </w:tc>
      </w:tr>
      <w:tr w:rsidR="00AA2CAD" w:rsidRPr="00AA2CAD" w14:paraId="25455AC9" w14:textId="77777777" w:rsidTr="00AA2CAD">
        <w:trPr>
          <w:trHeight w:hRule="exact" w:val="284"/>
        </w:trPr>
        <w:tc>
          <w:tcPr>
            <w:tcW w:w="3823" w:type="dxa"/>
            <w:noWrap/>
            <w:vAlign w:val="center"/>
            <w:hideMark/>
          </w:tcPr>
          <w:p w14:paraId="3213AB2C" w14:textId="6EEB3573" w:rsidR="00AA2CAD" w:rsidRPr="00AA2CAD" w:rsidRDefault="00AA2CAD" w:rsidP="00AA2CAD">
            <w:pPr>
              <w:rPr>
                <w:sz w:val="18"/>
                <w:szCs w:val="18"/>
              </w:rPr>
            </w:pPr>
            <w:r w:rsidRPr="00AA2CAD">
              <w:rPr>
                <w:sz w:val="18"/>
                <w:szCs w:val="18"/>
              </w:rPr>
              <w:t xml:space="preserve">LCIV Sustainable Equity Exclusion Fund </w:t>
            </w:r>
          </w:p>
        </w:tc>
        <w:tc>
          <w:tcPr>
            <w:tcW w:w="1842" w:type="dxa"/>
            <w:noWrap/>
            <w:vAlign w:val="center"/>
            <w:hideMark/>
          </w:tcPr>
          <w:p w14:paraId="379A97DE" w14:textId="13943A06" w:rsidR="00AA2CAD" w:rsidRPr="00AA2CAD" w:rsidRDefault="00AA2CAD" w:rsidP="00AA2CAD">
            <w:pPr>
              <w:rPr>
                <w:sz w:val="18"/>
                <w:szCs w:val="18"/>
              </w:rPr>
            </w:pPr>
            <w:r w:rsidRPr="00AA2CAD">
              <w:rPr>
                <w:sz w:val="18"/>
                <w:szCs w:val="18"/>
              </w:rPr>
              <w:t>Microsoft Corporation</w:t>
            </w:r>
          </w:p>
        </w:tc>
        <w:tc>
          <w:tcPr>
            <w:tcW w:w="2174" w:type="dxa"/>
            <w:noWrap/>
            <w:vAlign w:val="center"/>
            <w:hideMark/>
          </w:tcPr>
          <w:p w14:paraId="40C0F42B" w14:textId="0B27D95E" w:rsidR="00AA2CAD" w:rsidRPr="00AA2CAD" w:rsidRDefault="00AA2CAD" w:rsidP="00AA2CAD">
            <w:pPr>
              <w:rPr>
                <w:sz w:val="18"/>
                <w:szCs w:val="18"/>
              </w:rPr>
            </w:pPr>
            <w:r w:rsidRPr="00AA2CAD">
              <w:rPr>
                <w:sz w:val="18"/>
                <w:szCs w:val="18"/>
              </w:rPr>
              <w:t>Investigate</w:t>
            </w:r>
          </w:p>
        </w:tc>
        <w:tc>
          <w:tcPr>
            <w:tcW w:w="1937" w:type="dxa"/>
            <w:noWrap/>
            <w:hideMark/>
          </w:tcPr>
          <w:p w14:paraId="4563EB44" w14:textId="3E89A46A" w:rsidR="00AA2CAD" w:rsidRPr="00AA2CAD" w:rsidRDefault="00AA2CAD" w:rsidP="00AA2CAD">
            <w:pPr>
              <w:jc w:val="right"/>
              <w:rPr>
                <w:sz w:val="18"/>
                <w:szCs w:val="18"/>
              </w:rPr>
            </w:pPr>
            <w:r w:rsidRPr="00AA2CAD">
              <w:rPr>
                <w:sz w:val="18"/>
                <w:szCs w:val="18"/>
              </w:rPr>
              <w:t>24,656,578</w:t>
            </w:r>
          </w:p>
        </w:tc>
      </w:tr>
      <w:tr w:rsidR="00AA2CAD" w:rsidRPr="00AA2CAD" w14:paraId="28EC21FE" w14:textId="77777777" w:rsidTr="00AA2CAD">
        <w:trPr>
          <w:trHeight w:hRule="exact" w:val="284"/>
        </w:trPr>
        <w:tc>
          <w:tcPr>
            <w:tcW w:w="3823" w:type="dxa"/>
            <w:noWrap/>
            <w:vAlign w:val="center"/>
            <w:hideMark/>
          </w:tcPr>
          <w:p w14:paraId="70B884A4" w14:textId="47CD6E65" w:rsidR="00AA2CAD" w:rsidRPr="00AA2CAD" w:rsidRDefault="00AA2CAD" w:rsidP="00AA2CAD">
            <w:pPr>
              <w:rPr>
                <w:sz w:val="18"/>
                <w:szCs w:val="18"/>
              </w:rPr>
            </w:pPr>
            <w:r w:rsidRPr="00AA2CAD">
              <w:rPr>
                <w:sz w:val="18"/>
                <w:szCs w:val="18"/>
              </w:rPr>
              <w:t>LCIV Sustainable Equity Fund</w:t>
            </w:r>
          </w:p>
        </w:tc>
        <w:tc>
          <w:tcPr>
            <w:tcW w:w="1842" w:type="dxa"/>
            <w:noWrap/>
            <w:vAlign w:val="center"/>
            <w:hideMark/>
          </w:tcPr>
          <w:p w14:paraId="71C58D8C" w14:textId="70D3B03F" w:rsidR="00AA2CAD" w:rsidRPr="00AA2CAD" w:rsidRDefault="00AA2CAD" w:rsidP="00AA2CAD">
            <w:pPr>
              <w:rPr>
                <w:sz w:val="18"/>
                <w:szCs w:val="18"/>
              </w:rPr>
            </w:pPr>
            <w:r w:rsidRPr="00AA2CAD">
              <w:rPr>
                <w:sz w:val="18"/>
                <w:szCs w:val="18"/>
              </w:rPr>
              <w:t>Alphabet</w:t>
            </w:r>
          </w:p>
        </w:tc>
        <w:tc>
          <w:tcPr>
            <w:tcW w:w="2174" w:type="dxa"/>
            <w:noWrap/>
            <w:vAlign w:val="center"/>
            <w:hideMark/>
          </w:tcPr>
          <w:p w14:paraId="42D42B5F" w14:textId="718F25C3" w:rsidR="00AA2CAD" w:rsidRPr="00AA2CAD" w:rsidRDefault="00AA2CAD" w:rsidP="00AA2CAD">
            <w:pPr>
              <w:rPr>
                <w:sz w:val="18"/>
                <w:szCs w:val="18"/>
              </w:rPr>
            </w:pPr>
            <w:r w:rsidRPr="00AA2CAD">
              <w:rPr>
                <w:sz w:val="18"/>
                <w:szCs w:val="18"/>
              </w:rPr>
              <w:t>Investigate</w:t>
            </w:r>
          </w:p>
        </w:tc>
        <w:tc>
          <w:tcPr>
            <w:tcW w:w="1937" w:type="dxa"/>
            <w:noWrap/>
            <w:hideMark/>
          </w:tcPr>
          <w:p w14:paraId="6090AA8F" w14:textId="4939DECD" w:rsidR="00AA2CAD" w:rsidRPr="00AA2CAD" w:rsidRDefault="00AA2CAD" w:rsidP="00AA2CAD">
            <w:pPr>
              <w:jc w:val="right"/>
              <w:rPr>
                <w:sz w:val="18"/>
                <w:szCs w:val="18"/>
              </w:rPr>
            </w:pPr>
            <w:r w:rsidRPr="00AA2CAD">
              <w:rPr>
                <w:sz w:val="18"/>
                <w:szCs w:val="18"/>
              </w:rPr>
              <w:t>49,103,819</w:t>
            </w:r>
          </w:p>
        </w:tc>
      </w:tr>
      <w:tr w:rsidR="00AA2CAD" w:rsidRPr="00AA2CAD" w14:paraId="6163C7CB" w14:textId="77777777" w:rsidTr="00AA2CAD">
        <w:trPr>
          <w:trHeight w:hRule="exact" w:val="284"/>
        </w:trPr>
        <w:tc>
          <w:tcPr>
            <w:tcW w:w="3823" w:type="dxa"/>
            <w:noWrap/>
            <w:vAlign w:val="center"/>
            <w:hideMark/>
          </w:tcPr>
          <w:p w14:paraId="05E0D249" w14:textId="375D86C7" w:rsidR="00AA2CAD" w:rsidRPr="00AA2CAD" w:rsidRDefault="00AA2CAD" w:rsidP="00AA2CAD">
            <w:pPr>
              <w:rPr>
                <w:sz w:val="18"/>
                <w:szCs w:val="18"/>
              </w:rPr>
            </w:pPr>
            <w:r w:rsidRPr="00AA2CAD">
              <w:rPr>
                <w:sz w:val="18"/>
                <w:szCs w:val="18"/>
              </w:rPr>
              <w:t>LCIV Sustainable Equity Fund</w:t>
            </w:r>
          </w:p>
        </w:tc>
        <w:tc>
          <w:tcPr>
            <w:tcW w:w="1842" w:type="dxa"/>
            <w:noWrap/>
            <w:vAlign w:val="center"/>
            <w:hideMark/>
          </w:tcPr>
          <w:p w14:paraId="1CEFF929" w14:textId="5906A69B" w:rsidR="00AA2CAD" w:rsidRPr="00AA2CAD" w:rsidRDefault="00AA2CAD" w:rsidP="00AA2CAD">
            <w:pPr>
              <w:rPr>
                <w:sz w:val="18"/>
                <w:szCs w:val="18"/>
              </w:rPr>
            </w:pPr>
            <w:r w:rsidRPr="00AA2CAD">
              <w:rPr>
                <w:sz w:val="18"/>
                <w:szCs w:val="18"/>
              </w:rPr>
              <w:t>Microsoft Corporation</w:t>
            </w:r>
          </w:p>
        </w:tc>
        <w:tc>
          <w:tcPr>
            <w:tcW w:w="2174" w:type="dxa"/>
            <w:noWrap/>
            <w:vAlign w:val="center"/>
            <w:hideMark/>
          </w:tcPr>
          <w:p w14:paraId="3D366E0A" w14:textId="7DE5DB34" w:rsidR="00AA2CAD" w:rsidRPr="00AA2CAD" w:rsidRDefault="00AA2CAD" w:rsidP="00AA2CAD">
            <w:pPr>
              <w:rPr>
                <w:sz w:val="18"/>
                <w:szCs w:val="18"/>
              </w:rPr>
            </w:pPr>
            <w:r w:rsidRPr="00AA2CAD">
              <w:rPr>
                <w:sz w:val="18"/>
                <w:szCs w:val="18"/>
              </w:rPr>
              <w:t>Investigate</w:t>
            </w:r>
          </w:p>
        </w:tc>
        <w:tc>
          <w:tcPr>
            <w:tcW w:w="1937" w:type="dxa"/>
            <w:noWrap/>
            <w:hideMark/>
          </w:tcPr>
          <w:p w14:paraId="6C284ECC" w14:textId="4C2A5882" w:rsidR="00AA2CAD" w:rsidRPr="00AA2CAD" w:rsidRDefault="00AA2CAD" w:rsidP="00AA2CAD">
            <w:pPr>
              <w:jc w:val="right"/>
              <w:rPr>
                <w:sz w:val="18"/>
                <w:szCs w:val="18"/>
              </w:rPr>
            </w:pPr>
            <w:r w:rsidRPr="00AA2CAD">
              <w:rPr>
                <w:sz w:val="18"/>
                <w:szCs w:val="18"/>
              </w:rPr>
              <w:t>48,441,521</w:t>
            </w:r>
          </w:p>
        </w:tc>
      </w:tr>
      <w:tr w:rsidR="00AA2CAD" w:rsidRPr="00AA2CAD" w14:paraId="65183F6D" w14:textId="77777777" w:rsidTr="00AA2CAD">
        <w:trPr>
          <w:trHeight w:hRule="exact" w:val="284"/>
        </w:trPr>
        <w:tc>
          <w:tcPr>
            <w:tcW w:w="3823" w:type="dxa"/>
            <w:noWrap/>
            <w:vAlign w:val="center"/>
            <w:hideMark/>
          </w:tcPr>
          <w:p w14:paraId="4BF48EF0" w14:textId="595BDF75" w:rsidR="00AA2CAD" w:rsidRPr="00AA2CAD" w:rsidRDefault="00AA2CAD" w:rsidP="00AA2CAD">
            <w:pPr>
              <w:rPr>
                <w:sz w:val="18"/>
                <w:szCs w:val="18"/>
              </w:rPr>
            </w:pPr>
            <w:r w:rsidRPr="00AA2CAD">
              <w:rPr>
                <w:sz w:val="18"/>
                <w:szCs w:val="18"/>
              </w:rPr>
              <w:t xml:space="preserve">LCIV UK Equity Fund </w:t>
            </w:r>
          </w:p>
        </w:tc>
        <w:tc>
          <w:tcPr>
            <w:tcW w:w="1842" w:type="dxa"/>
            <w:noWrap/>
            <w:vAlign w:val="center"/>
            <w:hideMark/>
          </w:tcPr>
          <w:p w14:paraId="001C5F03" w14:textId="0E59966F" w:rsidR="00AA2CAD" w:rsidRPr="00AA2CAD" w:rsidRDefault="00AA2CAD" w:rsidP="00AA2CAD">
            <w:pPr>
              <w:rPr>
                <w:sz w:val="18"/>
                <w:szCs w:val="18"/>
              </w:rPr>
            </w:pPr>
            <w:r w:rsidRPr="00AA2CAD">
              <w:rPr>
                <w:sz w:val="18"/>
                <w:szCs w:val="18"/>
              </w:rPr>
              <w:t>Abb Ltd</w:t>
            </w:r>
          </w:p>
        </w:tc>
        <w:tc>
          <w:tcPr>
            <w:tcW w:w="2174" w:type="dxa"/>
            <w:noWrap/>
            <w:vAlign w:val="center"/>
            <w:hideMark/>
          </w:tcPr>
          <w:p w14:paraId="5B75B70D" w14:textId="2F0E0145" w:rsidR="00AA2CAD" w:rsidRPr="00AA2CAD" w:rsidRDefault="00AA2CAD" w:rsidP="00AA2CAD">
            <w:pPr>
              <w:rPr>
                <w:sz w:val="18"/>
                <w:szCs w:val="18"/>
              </w:rPr>
            </w:pPr>
            <w:r w:rsidRPr="00AA2CAD">
              <w:rPr>
                <w:sz w:val="18"/>
                <w:szCs w:val="18"/>
              </w:rPr>
              <w:t>Who Profits/Investigate</w:t>
            </w:r>
          </w:p>
        </w:tc>
        <w:tc>
          <w:tcPr>
            <w:tcW w:w="1937" w:type="dxa"/>
            <w:noWrap/>
            <w:hideMark/>
          </w:tcPr>
          <w:p w14:paraId="4DFC5A12" w14:textId="7BA04B77" w:rsidR="00AA2CAD" w:rsidRPr="00AA2CAD" w:rsidRDefault="00AA2CAD" w:rsidP="00AA2CAD">
            <w:pPr>
              <w:jc w:val="right"/>
              <w:rPr>
                <w:sz w:val="18"/>
                <w:szCs w:val="18"/>
              </w:rPr>
            </w:pPr>
            <w:r w:rsidRPr="00AA2CAD">
              <w:rPr>
                <w:sz w:val="18"/>
                <w:szCs w:val="18"/>
              </w:rPr>
              <w:t>6,031</w:t>
            </w:r>
          </w:p>
        </w:tc>
      </w:tr>
    </w:tbl>
    <w:p w14:paraId="59089E16" w14:textId="3BD21E25" w:rsidR="00923C55" w:rsidRPr="00AA2CAD" w:rsidRDefault="00923C55" w:rsidP="00923C55">
      <w:pPr>
        <w:rPr>
          <w:sz w:val="18"/>
          <w:szCs w:val="18"/>
        </w:rPr>
      </w:pPr>
      <w:r w:rsidRPr="00AA2CAD">
        <w:rPr>
          <w:sz w:val="18"/>
          <w:szCs w:val="18"/>
        </w:rPr>
        <w:t>(Calculated on 31/05/2021) *</w:t>
      </w:r>
      <w:r w:rsidR="00761E87" w:rsidRPr="00AA2CAD">
        <w:rPr>
          <w:sz w:val="18"/>
          <w:szCs w:val="18"/>
        </w:rPr>
        <w:t xml:space="preserve"> </w:t>
      </w:r>
      <w:r w:rsidR="00625AEB" w:rsidRPr="00AA2CAD">
        <w:rPr>
          <w:sz w:val="18"/>
          <w:szCs w:val="18"/>
        </w:rPr>
        <w:t xml:space="preserve">LCIV Global Equity Core Fund </w:t>
      </w:r>
      <w:r w:rsidR="00761E87" w:rsidRPr="00AA2CAD">
        <w:rPr>
          <w:sz w:val="18"/>
          <w:szCs w:val="18"/>
        </w:rPr>
        <w:t xml:space="preserve">is calculated as of </w:t>
      </w:r>
      <w:r w:rsidR="006713BA" w:rsidRPr="00AA2CAD">
        <w:rPr>
          <w:sz w:val="18"/>
          <w:szCs w:val="18"/>
        </w:rPr>
        <w:t>31/03/2021 due to manager requirement</w:t>
      </w:r>
      <w:r w:rsidR="001C6087">
        <w:rPr>
          <w:sz w:val="18"/>
          <w:szCs w:val="18"/>
        </w:rPr>
        <w:t>s</w:t>
      </w:r>
      <w:r w:rsidR="006713BA" w:rsidRPr="00AA2CAD">
        <w:rPr>
          <w:sz w:val="18"/>
          <w:szCs w:val="18"/>
        </w:rPr>
        <w:t xml:space="preserve">. </w:t>
      </w:r>
    </w:p>
    <w:p w14:paraId="5821BA99" w14:textId="3C075360" w:rsidR="00430744" w:rsidRDefault="00430744"/>
    <w:p w14:paraId="487729EF" w14:textId="77777777" w:rsidR="00AA2CAD" w:rsidRDefault="00AA2CAD">
      <w:pPr>
        <w:rPr>
          <w:b/>
          <w:bCs/>
        </w:rPr>
      </w:pPr>
    </w:p>
    <w:p w14:paraId="00165D59" w14:textId="2E533078" w:rsidR="00430744" w:rsidRPr="00102C21" w:rsidRDefault="00430744">
      <w:pPr>
        <w:rPr>
          <w:b/>
          <w:bCs/>
        </w:rPr>
      </w:pPr>
      <w:r w:rsidRPr="00102C21">
        <w:rPr>
          <w:b/>
          <w:bCs/>
        </w:rPr>
        <w:lastRenderedPageBreak/>
        <w:t>Pooled Funds</w:t>
      </w:r>
    </w:p>
    <w:tbl>
      <w:tblPr>
        <w:tblStyle w:val="TableGrid"/>
        <w:tblW w:w="9918" w:type="dxa"/>
        <w:tblLook w:val="04A0" w:firstRow="1" w:lastRow="0" w:firstColumn="1" w:lastColumn="0" w:noHBand="0" w:noVBand="1"/>
      </w:tblPr>
      <w:tblGrid>
        <w:gridCol w:w="2405"/>
        <w:gridCol w:w="2977"/>
        <w:gridCol w:w="2693"/>
        <w:gridCol w:w="1843"/>
      </w:tblGrid>
      <w:tr w:rsidR="00430744" w:rsidRPr="00AA2CAD" w14:paraId="38FF6AD7" w14:textId="77777777" w:rsidTr="001C6087">
        <w:trPr>
          <w:trHeight w:val="369"/>
        </w:trPr>
        <w:tc>
          <w:tcPr>
            <w:tcW w:w="2405" w:type="dxa"/>
            <w:shd w:val="clear" w:color="auto" w:fill="7030A0"/>
            <w:noWrap/>
            <w:vAlign w:val="center"/>
            <w:hideMark/>
          </w:tcPr>
          <w:p w14:paraId="1CB4D652" w14:textId="02F04A04" w:rsidR="00430744" w:rsidRPr="001C6087" w:rsidRDefault="000A08CF" w:rsidP="00430744">
            <w:pPr>
              <w:jc w:val="center"/>
              <w:rPr>
                <w:b/>
                <w:bCs/>
                <w:color w:val="FFFFFF" w:themeColor="background1"/>
                <w:sz w:val="18"/>
                <w:szCs w:val="18"/>
              </w:rPr>
            </w:pPr>
            <w:r w:rsidRPr="001C6087">
              <w:rPr>
                <w:b/>
                <w:bCs/>
                <w:color w:val="FFFFFF" w:themeColor="background1"/>
                <w:sz w:val="18"/>
                <w:szCs w:val="18"/>
              </w:rPr>
              <w:t>Fund Name</w:t>
            </w:r>
          </w:p>
        </w:tc>
        <w:tc>
          <w:tcPr>
            <w:tcW w:w="2977" w:type="dxa"/>
            <w:shd w:val="clear" w:color="auto" w:fill="7030A0"/>
            <w:noWrap/>
            <w:vAlign w:val="center"/>
            <w:hideMark/>
          </w:tcPr>
          <w:p w14:paraId="608EC3BB" w14:textId="561D152A" w:rsidR="00430744" w:rsidRPr="001C6087" w:rsidRDefault="000A08CF" w:rsidP="00430744">
            <w:pPr>
              <w:jc w:val="center"/>
              <w:rPr>
                <w:b/>
                <w:bCs/>
                <w:color w:val="FFFFFF" w:themeColor="background1"/>
                <w:sz w:val="18"/>
                <w:szCs w:val="18"/>
              </w:rPr>
            </w:pPr>
            <w:r w:rsidRPr="001C6087">
              <w:rPr>
                <w:b/>
                <w:bCs/>
                <w:color w:val="FFFFFF" w:themeColor="background1"/>
                <w:sz w:val="18"/>
                <w:szCs w:val="18"/>
              </w:rPr>
              <w:t>Company</w:t>
            </w:r>
          </w:p>
        </w:tc>
        <w:tc>
          <w:tcPr>
            <w:tcW w:w="2693" w:type="dxa"/>
            <w:shd w:val="clear" w:color="auto" w:fill="7030A0"/>
            <w:noWrap/>
            <w:vAlign w:val="center"/>
            <w:hideMark/>
          </w:tcPr>
          <w:p w14:paraId="5FF7C2C2" w14:textId="0BDEBBF8" w:rsidR="00430744" w:rsidRPr="001C6087" w:rsidRDefault="000A08CF" w:rsidP="00430744">
            <w:pPr>
              <w:jc w:val="center"/>
              <w:rPr>
                <w:b/>
                <w:bCs/>
                <w:color w:val="FFFFFF" w:themeColor="background1"/>
                <w:sz w:val="18"/>
                <w:szCs w:val="18"/>
              </w:rPr>
            </w:pPr>
            <w:r w:rsidRPr="001C6087">
              <w:rPr>
                <w:b/>
                <w:bCs/>
                <w:color w:val="FFFFFF" w:themeColor="background1"/>
                <w:sz w:val="18"/>
                <w:szCs w:val="18"/>
              </w:rPr>
              <w:t>Reference</w:t>
            </w:r>
          </w:p>
        </w:tc>
        <w:tc>
          <w:tcPr>
            <w:tcW w:w="1843" w:type="dxa"/>
            <w:shd w:val="clear" w:color="auto" w:fill="7030A0"/>
            <w:noWrap/>
            <w:vAlign w:val="center"/>
            <w:hideMark/>
          </w:tcPr>
          <w:p w14:paraId="3EF786E9" w14:textId="426636FD" w:rsidR="00430744" w:rsidRPr="001C6087" w:rsidRDefault="00430744" w:rsidP="00430744">
            <w:pPr>
              <w:jc w:val="center"/>
              <w:rPr>
                <w:b/>
                <w:bCs/>
                <w:color w:val="FFFFFF" w:themeColor="background1"/>
                <w:sz w:val="18"/>
                <w:szCs w:val="18"/>
              </w:rPr>
            </w:pPr>
            <w:r w:rsidRPr="001C6087">
              <w:rPr>
                <w:b/>
                <w:bCs/>
                <w:color w:val="FFFFFF" w:themeColor="background1"/>
                <w:sz w:val="18"/>
                <w:szCs w:val="18"/>
              </w:rPr>
              <w:t xml:space="preserve">% </w:t>
            </w:r>
            <w:proofErr w:type="gramStart"/>
            <w:r w:rsidRPr="001C6087">
              <w:rPr>
                <w:b/>
                <w:bCs/>
                <w:color w:val="FFFFFF" w:themeColor="background1"/>
                <w:sz w:val="18"/>
                <w:szCs w:val="18"/>
              </w:rPr>
              <w:t>of</w:t>
            </w:r>
            <w:proofErr w:type="gramEnd"/>
            <w:r w:rsidRPr="001C6087">
              <w:rPr>
                <w:b/>
                <w:bCs/>
                <w:color w:val="FFFFFF" w:themeColor="background1"/>
                <w:sz w:val="18"/>
                <w:szCs w:val="18"/>
              </w:rPr>
              <w:t xml:space="preserve"> Fund Exposure</w:t>
            </w:r>
          </w:p>
        </w:tc>
      </w:tr>
      <w:tr w:rsidR="00430744" w:rsidRPr="00AA2CAD" w14:paraId="2D755959" w14:textId="77777777" w:rsidTr="001C6087">
        <w:trPr>
          <w:trHeight w:val="300"/>
        </w:trPr>
        <w:tc>
          <w:tcPr>
            <w:tcW w:w="2405" w:type="dxa"/>
            <w:noWrap/>
            <w:vAlign w:val="center"/>
            <w:hideMark/>
          </w:tcPr>
          <w:p w14:paraId="39B29DE9" w14:textId="7EFB0AA3" w:rsidR="00430744" w:rsidRPr="00AA2CAD" w:rsidRDefault="000A08CF" w:rsidP="000A08CF">
            <w:pPr>
              <w:rPr>
                <w:sz w:val="18"/>
                <w:szCs w:val="18"/>
              </w:rPr>
            </w:pPr>
            <w:r w:rsidRPr="00AA2CAD">
              <w:rPr>
                <w:sz w:val="18"/>
                <w:szCs w:val="18"/>
              </w:rPr>
              <w:t>LCIV Global Total Return</w:t>
            </w:r>
          </w:p>
        </w:tc>
        <w:tc>
          <w:tcPr>
            <w:tcW w:w="2977" w:type="dxa"/>
            <w:noWrap/>
            <w:vAlign w:val="center"/>
            <w:hideMark/>
          </w:tcPr>
          <w:p w14:paraId="1460CB63" w14:textId="13AFE3DB" w:rsidR="00430744" w:rsidRPr="00AA2CAD" w:rsidRDefault="000A08CF" w:rsidP="000A08CF">
            <w:pPr>
              <w:rPr>
                <w:sz w:val="18"/>
                <w:szCs w:val="18"/>
              </w:rPr>
            </w:pPr>
            <w:r w:rsidRPr="00AA2CAD">
              <w:rPr>
                <w:sz w:val="18"/>
                <w:szCs w:val="18"/>
              </w:rPr>
              <w:t>Atlas Copco</w:t>
            </w:r>
          </w:p>
        </w:tc>
        <w:tc>
          <w:tcPr>
            <w:tcW w:w="2693" w:type="dxa"/>
            <w:noWrap/>
            <w:vAlign w:val="center"/>
            <w:hideMark/>
          </w:tcPr>
          <w:p w14:paraId="60676357" w14:textId="6A3C28F9" w:rsidR="00430744" w:rsidRPr="00AA2CAD" w:rsidRDefault="000A08CF" w:rsidP="000A08CF">
            <w:pPr>
              <w:rPr>
                <w:sz w:val="18"/>
                <w:szCs w:val="18"/>
              </w:rPr>
            </w:pPr>
            <w:r w:rsidRPr="00AA2CAD">
              <w:rPr>
                <w:sz w:val="18"/>
                <w:szCs w:val="18"/>
              </w:rPr>
              <w:t>Investigate</w:t>
            </w:r>
          </w:p>
        </w:tc>
        <w:tc>
          <w:tcPr>
            <w:tcW w:w="1843" w:type="dxa"/>
            <w:noWrap/>
            <w:vAlign w:val="center"/>
            <w:hideMark/>
          </w:tcPr>
          <w:p w14:paraId="795ADA4B" w14:textId="77777777" w:rsidR="00430744" w:rsidRPr="00AA2CAD" w:rsidRDefault="00430744" w:rsidP="00AA2CAD">
            <w:pPr>
              <w:jc w:val="right"/>
              <w:rPr>
                <w:sz w:val="18"/>
                <w:szCs w:val="18"/>
              </w:rPr>
            </w:pPr>
            <w:r w:rsidRPr="00AA2CAD">
              <w:rPr>
                <w:sz w:val="18"/>
                <w:szCs w:val="18"/>
              </w:rPr>
              <w:t>0.27%</w:t>
            </w:r>
          </w:p>
        </w:tc>
      </w:tr>
      <w:tr w:rsidR="000A08CF" w:rsidRPr="00AA2CAD" w14:paraId="363F7D12" w14:textId="77777777" w:rsidTr="001C6087">
        <w:trPr>
          <w:trHeight w:val="300"/>
        </w:trPr>
        <w:tc>
          <w:tcPr>
            <w:tcW w:w="2405" w:type="dxa"/>
            <w:noWrap/>
            <w:vAlign w:val="center"/>
            <w:hideMark/>
          </w:tcPr>
          <w:p w14:paraId="09F1669B" w14:textId="1F3247F7"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0CF9EF6D" w14:textId="78121F3B" w:rsidR="000A08CF" w:rsidRPr="00AA2CAD" w:rsidRDefault="000A08CF" w:rsidP="000A08CF">
            <w:pPr>
              <w:rPr>
                <w:sz w:val="18"/>
                <w:szCs w:val="18"/>
              </w:rPr>
            </w:pPr>
            <w:r w:rsidRPr="00AA2CAD">
              <w:rPr>
                <w:sz w:val="18"/>
                <w:szCs w:val="18"/>
              </w:rPr>
              <w:t>Altice France</w:t>
            </w:r>
          </w:p>
        </w:tc>
        <w:tc>
          <w:tcPr>
            <w:tcW w:w="2693" w:type="dxa"/>
            <w:noWrap/>
            <w:vAlign w:val="center"/>
            <w:hideMark/>
          </w:tcPr>
          <w:p w14:paraId="6B62D507" w14:textId="64438149"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499362BB" w14:textId="77777777" w:rsidR="000A08CF" w:rsidRPr="00AA2CAD" w:rsidRDefault="000A08CF" w:rsidP="00AA2CAD">
            <w:pPr>
              <w:jc w:val="right"/>
              <w:rPr>
                <w:sz w:val="18"/>
                <w:szCs w:val="18"/>
              </w:rPr>
            </w:pPr>
            <w:r w:rsidRPr="00AA2CAD">
              <w:rPr>
                <w:sz w:val="18"/>
                <w:szCs w:val="18"/>
              </w:rPr>
              <w:t>0.32%</w:t>
            </w:r>
          </w:p>
        </w:tc>
      </w:tr>
      <w:tr w:rsidR="000A08CF" w:rsidRPr="00AA2CAD" w14:paraId="2FB49932" w14:textId="77777777" w:rsidTr="001C6087">
        <w:trPr>
          <w:trHeight w:val="300"/>
        </w:trPr>
        <w:tc>
          <w:tcPr>
            <w:tcW w:w="2405" w:type="dxa"/>
            <w:noWrap/>
            <w:vAlign w:val="center"/>
            <w:hideMark/>
          </w:tcPr>
          <w:p w14:paraId="3CADECE9" w14:textId="7518C711"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77668A85" w14:textId="0B18336E" w:rsidR="000A08CF" w:rsidRPr="00AA2CAD" w:rsidRDefault="000A08CF" w:rsidP="000A08CF">
            <w:pPr>
              <w:rPr>
                <w:sz w:val="18"/>
                <w:szCs w:val="18"/>
              </w:rPr>
            </w:pPr>
            <w:r w:rsidRPr="00AA2CAD">
              <w:rPr>
                <w:sz w:val="18"/>
                <w:szCs w:val="18"/>
              </w:rPr>
              <w:t>Altice USA Inc</w:t>
            </w:r>
          </w:p>
        </w:tc>
        <w:tc>
          <w:tcPr>
            <w:tcW w:w="2693" w:type="dxa"/>
            <w:noWrap/>
            <w:vAlign w:val="center"/>
            <w:hideMark/>
          </w:tcPr>
          <w:p w14:paraId="33DD1564" w14:textId="199FC668"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438A6795" w14:textId="77777777" w:rsidR="000A08CF" w:rsidRPr="00AA2CAD" w:rsidRDefault="000A08CF" w:rsidP="00AA2CAD">
            <w:pPr>
              <w:jc w:val="right"/>
              <w:rPr>
                <w:sz w:val="18"/>
                <w:szCs w:val="18"/>
              </w:rPr>
            </w:pPr>
            <w:r w:rsidRPr="00AA2CAD">
              <w:rPr>
                <w:sz w:val="18"/>
                <w:szCs w:val="18"/>
              </w:rPr>
              <w:t>0.07%</w:t>
            </w:r>
          </w:p>
        </w:tc>
      </w:tr>
      <w:tr w:rsidR="000A08CF" w:rsidRPr="00AA2CAD" w14:paraId="71A67B51" w14:textId="77777777" w:rsidTr="001C6087">
        <w:trPr>
          <w:trHeight w:val="300"/>
        </w:trPr>
        <w:tc>
          <w:tcPr>
            <w:tcW w:w="2405" w:type="dxa"/>
            <w:noWrap/>
            <w:vAlign w:val="center"/>
            <w:hideMark/>
          </w:tcPr>
          <w:p w14:paraId="3E65D361" w14:textId="71F4210D"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636AFD43" w14:textId="41E4DCCB" w:rsidR="000A08CF" w:rsidRPr="00AA2CAD" w:rsidRDefault="000A08CF" w:rsidP="000A08CF">
            <w:pPr>
              <w:rPr>
                <w:sz w:val="18"/>
                <w:szCs w:val="18"/>
              </w:rPr>
            </w:pPr>
            <w:r w:rsidRPr="00AA2CAD">
              <w:rPr>
                <w:sz w:val="18"/>
                <w:szCs w:val="18"/>
              </w:rPr>
              <w:t>Barclays</w:t>
            </w:r>
          </w:p>
        </w:tc>
        <w:tc>
          <w:tcPr>
            <w:tcW w:w="2693" w:type="dxa"/>
            <w:noWrap/>
            <w:vAlign w:val="center"/>
            <w:hideMark/>
          </w:tcPr>
          <w:p w14:paraId="1A82E90E" w14:textId="3ECB66EE"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2B337F46" w14:textId="77777777" w:rsidR="000A08CF" w:rsidRPr="00AA2CAD" w:rsidRDefault="000A08CF" w:rsidP="00AA2CAD">
            <w:pPr>
              <w:jc w:val="right"/>
              <w:rPr>
                <w:sz w:val="18"/>
                <w:szCs w:val="18"/>
              </w:rPr>
            </w:pPr>
            <w:r w:rsidRPr="00AA2CAD">
              <w:rPr>
                <w:sz w:val="18"/>
                <w:szCs w:val="18"/>
              </w:rPr>
              <w:t>0.22%</w:t>
            </w:r>
          </w:p>
        </w:tc>
      </w:tr>
      <w:tr w:rsidR="000A08CF" w:rsidRPr="00AA2CAD" w14:paraId="6BC37B92" w14:textId="77777777" w:rsidTr="001C6087">
        <w:trPr>
          <w:trHeight w:val="300"/>
        </w:trPr>
        <w:tc>
          <w:tcPr>
            <w:tcW w:w="2405" w:type="dxa"/>
            <w:noWrap/>
            <w:vAlign w:val="center"/>
            <w:hideMark/>
          </w:tcPr>
          <w:p w14:paraId="1AD5B8EE" w14:textId="789B6B30"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14244886" w14:textId="3BE5DEAE" w:rsidR="000A08CF" w:rsidRPr="00AA2CAD" w:rsidRDefault="000A08CF" w:rsidP="000A08CF">
            <w:pPr>
              <w:rPr>
                <w:sz w:val="18"/>
                <w:szCs w:val="18"/>
              </w:rPr>
            </w:pPr>
            <w:r w:rsidRPr="00AA2CAD">
              <w:rPr>
                <w:sz w:val="18"/>
                <w:szCs w:val="18"/>
              </w:rPr>
              <w:t>Bombardier Inc</w:t>
            </w:r>
          </w:p>
        </w:tc>
        <w:tc>
          <w:tcPr>
            <w:tcW w:w="2693" w:type="dxa"/>
            <w:noWrap/>
            <w:vAlign w:val="center"/>
            <w:hideMark/>
          </w:tcPr>
          <w:p w14:paraId="4EFEE9C9" w14:textId="1E26C6DF"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245BAB33" w14:textId="77777777" w:rsidR="000A08CF" w:rsidRPr="00AA2CAD" w:rsidRDefault="000A08CF" w:rsidP="00AA2CAD">
            <w:pPr>
              <w:jc w:val="right"/>
              <w:rPr>
                <w:sz w:val="18"/>
                <w:szCs w:val="18"/>
              </w:rPr>
            </w:pPr>
            <w:r w:rsidRPr="00AA2CAD">
              <w:rPr>
                <w:sz w:val="18"/>
                <w:szCs w:val="18"/>
              </w:rPr>
              <w:t>0.01%</w:t>
            </w:r>
          </w:p>
        </w:tc>
      </w:tr>
      <w:tr w:rsidR="000A08CF" w:rsidRPr="00AA2CAD" w14:paraId="140E1E6E" w14:textId="77777777" w:rsidTr="001C6087">
        <w:trPr>
          <w:trHeight w:val="300"/>
        </w:trPr>
        <w:tc>
          <w:tcPr>
            <w:tcW w:w="2405" w:type="dxa"/>
            <w:noWrap/>
            <w:vAlign w:val="center"/>
            <w:hideMark/>
          </w:tcPr>
          <w:p w14:paraId="45688B25" w14:textId="34BBE16E"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56AEF510" w14:textId="5F6B19F7" w:rsidR="000A08CF" w:rsidRPr="00AA2CAD" w:rsidRDefault="000A08CF" w:rsidP="000A08CF">
            <w:pPr>
              <w:rPr>
                <w:sz w:val="18"/>
                <w:szCs w:val="18"/>
              </w:rPr>
            </w:pPr>
            <w:r w:rsidRPr="00AA2CAD">
              <w:rPr>
                <w:sz w:val="18"/>
                <w:szCs w:val="18"/>
              </w:rPr>
              <w:t>Booking Holdings</w:t>
            </w:r>
          </w:p>
        </w:tc>
        <w:tc>
          <w:tcPr>
            <w:tcW w:w="2693" w:type="dxa"/>
            <w:noWrap/>
            <w:vAlign w:val="center"/>
            <w:hideMark/>
          </w:tcPr>
          <w:p w14:paraId="10FC52DD" w14:textId="4154ED5A" w:rsidR="000A08CF" w:rsidRPr="00AA2CAD" w:rsidRDefault="000A08CF" w:rsidP="000A08CF">
            <w:pPr>
              <w:rPr>
                <w:sz w:val="18"/>
                <w:szCs w:val="18"/>
              </w:rPr>
            </w:pPr>
            <w:r w:rsidRPr="00AA2CAD">
              <w:rPr>
                <w:sz w:val="18"/>
                <w:szCs w:val="18"/>
              </w:rPr>
              <w:t>Who Profits/Investigate/</w:t>
            </w:r>
            <w:r w:rsidR="001169B5" w:rsidRPr="00AA2CAD">
              <w:rPr>
                <w:sz w:val="18"/>
                <w:szCs w:val="18"/>
              </w:rPr>
              <w:t>OHCHR</w:t>
            </w:r>
          </w:p>
        </w:tc>
        <w:tc>
          <w:tcPr>
            <w:tcW w:w="1843" w:type="dxa"/>
            <w:noWrap/>
            <w:vAlign w:val="center"/>
            <w:hideMark/>
          </w:tcPr>
          <w:p w14:paraId="3B0398EA" w14:textId="77777777" w:rsidR="000A08CF" w:rsidRPr="00AA2CAD" w:rsidRDefault="000A08CF" w:rsidP="00AA2CAD">
            <w:pPr>
              <w:jc w:val="right"/>
              <w:rPr>
                <w:sz w:val="18"/>
                <w:szCs w:val="18"/>
              </w:rPr>
            </w:pPr>
            <w:r w:rsidRPr="00AA2CAD">
              <w:rPr>
                <w:sz w:val="18"/>
                <w:szCs w:val="18"/>
              </w:rPr>
              <w:t>0.08%</w:t>
            </w:r>
          </w:p>
        </w:tc>
      </w:tr>
      <w:tr w:rsidR="000A08CF" w:rsidRPr="00AA2CAD" w14:paraId="4582FC33" w14:textId="77777777" w:rsidTr="001C6087">
        <w:trPr>
          <w:trHeight w:val="300"/>
        </w:trPr>
        <w:tc>
          <w:tcPr>
            <w:tcW w:w="2405" w:type="dxa"/>
            <w:noWrap/>
            <w:vAlign w:val="center"/>
            <w:hideMark/>
          </w:tcPr>
          <w:p w14:paraId="7CB21821" w14:textId="474C3F99"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5754B6B4" w14:textId="34251845" w:rsidR="000A08CF" w:rsidRPr="00AA2CAD" w:rsidRDefault="000A08CF" w:rsidP="000A08CF">
            <w:pPr>
              <w:rPr>
                <w:sz w:val="18"/>
                <w:szCs w:val="18"/>
              </w:rPr>
            </w:pPr>
            <w:proofErr w:type="spellStart"/>
            <w:r w:rsidRPr="00AA2CAD">
              <w:rPr>
                <w:sz w:val="18"/>
                <w:szCs w:val="18"/>
              </w:rPr>
              <w:t>Edreams</w:t>
            </w:r>
            <w:proofErr w:type="spellEnd"/>
            <w:r w:rsidRPr="00AA2CAD">
              <w:rPr>
                <w:sz w:val="18"/>
                <w:szCs w:val="18"/>
              </w:rPr>
              <w:t xml:space="preserve"> </w:t>
            </w:r>
            <w:proofErr w:type="spellStart"/>
            <w:r w:rsidRPr="00AA2CAD">
              <w:rPr>
                <w:sz w:val="18"/>
                <w:szCs w:val="18"/>
              </w:rPr>
              <w:t>Odigeo</w:t>
            </w:r>
            <w:proofErr w:type="spellEnd"/>
          </w:p>
        </w:tc>
        <w:tc>
          <w:tcPr>
            <w:tcW w:w="2693" w:type="dxa"/>
            <w:noWrap/>
            <w:vAlign w:val="center"/>
            <w:hideMark/>
          </w:tcPr>
          <w:p w14:paraId="67F1F606" w14:textId="1F04246C"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48782DD4" w14:textId="77777777" w:rsidR="000A08CF" w:rsidRPr="00AA2CAD" w:rsidRDefault="000A08CF" w:rsidP="00AA2CAD">
            <w:pPr>
              <w:jc w:val="right"/>
              <w:rPr>
                <w:sz w:val="18"/>
                <w:szCs w:val="18"/>
              </w:rPr>
            </w:pPr>
            <w:r w:rsidRPr="00AA2CAD">
              <w:rPr>
                <w:sz w:val="18"/>
                <w:szCs w:val="18"/>
              </w:rPr>
              <w:t>0.03%</w:t>
            </w:r>
          </w:p>
        </w:tc>
      </w:tr>
      <w:tr w:rsidR="000A08CF" w:rsidRPr="00AA2CAD" w14:paraId="5EA56753" w14:textId="77777777" w:rsidTr="001C6087">
        <w:trPr>
          <w:trHeight w:val="300"/>
        </w:trPr>
        <w:tc>
          <w:tcPr>
            <w:tcW w:w="2405" w:type="dxa"/>
            <w:noWrap/>
            <w:vAlign w:val="center"/>
            <w:hideMark/>
          </w:tcPr>
          <w:p w14:paraId="4D1216BB" w14:textId="0D7F7D7A"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49FED47B" w14:textId="2E9AA235" w:rsidR="000A08CF" w:rsidRPr="00AA2CAD" w:rsidRDefault="000A08CF" w:rsidP="000A08CF">
            <w:pPr>
              <w:rPr>
                <w:sz w:val="18"/>
                <w:szCs w:val="18"/>
              </w:rPr>
            </w:pPr>
            <w:r w:rsidRPr="00AA2CAD">
              <w:rPr>
                <w:sz w:val="18"/>
                <w:szCs w:val="18"/>
              </w:rPr>
              <w:t>Ford Motor Company</w:t>
            </w:r>
          </w:p>
        </w:tc>
        <w:tc>
          <w:tcPr>
            <w:tcW w:w="2693" w:type="dxa"/>
            <w:noWrap/>
            <w:vAlign w:val="center"/>
            <w:hideMark/>
          </w:tcPr>
          <w:p w14:paraId="502A56A3" w14:textId="24117A6E"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034A90E6" w14:textId="77777777" w:rsidR="000A08CF" w:rsidRPr="00AA2CAD" w:rsidRDefault="000A08CF" w:rsidP="00AA2CAD">
            <w:pPr>
              <w:jc w:val="right"/>
              <w:rPr>
                <w:sz w:val="18"/>
                <w:szCs w:val="18"/>
              </w:rPr>
            </w:pPr>
            <w:r w:rsidRPr="00AA2CAD">
              <w:rPr>
                <w:sz w:val="18"/>
                <w:szCs w:val="18"/>
              </w:rPr>
              <w:t>0.01%</w:t>
            </w:r>
          </w:p>
        </w:tc>
      </w:tr>
      <w:tr w:rsidR="000A08CF" w:rsidRPr="00AA2CAD" w14:paraId="3DCE2D44" w14:textId="77777777" w:rsidTr="001C6087">
        <w:trPr>
          <w:trHeight w:val="300"/>
        </w:trPr>
        <w:tc>
          <w:tcPr>
            <w:tcW w:w="2405" w:type="dxa"/>
            <w:noWrap/>
            <w:vAlign w:val="center"/>
            <w:hideMark/>
          </w:tcPr>
          <w:p w14:paraId="0A79B599" w14:textId="0CCE183B"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7A385BE9" w14:textId="58855315" w:rsidR="000A08CF" w:rsidRPr="00AA2CAD" w:rsidRDefault="000A08CF" w:rsidP="000A08CF">
            <w:pPr>
              <w:rPr>
                <w:sz w:val="18"/>
                <w:szCs w:val="18"/>
              </w:rPr>
            </w:pPr>
            <w:r w:rsidRPr="00AA2CAD">
              <w:rPr>
                <w:sz w:val="18"/>
                <w:szCs w:val="18"/>
              </w:rPr>
              <w:t>Ford Motor Credit</w:t>
            </w:r>
          </w:p>
        </w:tc>
        <w:tc>
          <w:tcPr>
            <w:tcW w:w="2693" w:type="dxa"/>
            <w:noWrap/>
            <w:vAlign w:val="center"/>
            <w:hideMark/>
          </w:tcPr>
          <w:p w14:paraId="5F2AF5B9" w14:textId="2D5B88A5"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0E21B29F" w14:textId="77777777" w:rsidR="000A08CF" w:rsidRPr="00AA2CAD" w:rsidRDefault="000A08CF" w:rsidP="00AA2CAD">
            <w:pPr>
              <w:jc w:val="right"/>
              <w:rPr>
                <w:sz w:val="18"/>
                <w:szCs w:val="18"/>
              </w:rPr>
            </w:pPr>
            <w:r w:rsidRPr="00AA2CAD">
              <w:rPr>
                <w:sz w:val="18"/>
                <w:szCs w:val="18"/>
              </w:rPr>
              <w:t>0.21%</w:t>
            </w:r>
          </w:p>
        </w:tc>
      </w:tr>
      <w:tr w:rsidR="000A08CF" w:rsidRPr="00AA2CAD" w14:paraId="78B27C6F" w14:textId="77777777" w:rsidTr="001C6087">
        <w:trPr>
          <w:trHeight w:val="300"/>
        </w:trPr>
        <w:tc>
          <w:tcPr>
            <w:tcW w:w="2405" w:type="dxa"/>
            <w:noWrap/>
            <w:vAlign w:val="center"/>
            <w:hideMark/>
          </w:tcPr>
          <w:p w14:paraId="29AB69B0" w14:textId="40C5C4CD"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30025291" w14:textId="5AE59668" w:rsidR="000A08CF" w:rsidRPr="00AA2CAD" w:rsidRDefault="000A08CF" w:rsidP="000A08CF">
            <w:pPr>
              <w:rPr>
                <w:sz w:val="18"/>
                <w:szCs w:val="18"/>
              </w:rPr>
            </w:pPr>
            <w:r w:rsidRPr="00AA2CAD">
              <w:rPr>
                <w:sz w:val="18"/>
                <w:szCs w:val="18"/>
              </w:rPr>
              <w:t>HSBC</w:t>
            </w:r>
          </w:p>
        </w:tc>
        <w:tc>
          <w:tcPr>
            <w:tcW w:w="2693" w:type="dxa"/>
            <w:noWrap/>
            <w:vAlign w:val="center"/>
            <w:hideMark/>
          </w:tcPr>
          <w:p w14:paraId="64263F0B" w14:textId="33C8A22D"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2A4D75F2" w14:textId="77777777" w:rsidR="000A08CF" w:rsidRPr="00AA2CAD" w:rsidRDefault="000A08CF" w:rsidP="00AA2CAD">
            <w:pPr>
              <w:jc w:val="right"/>
              <w:rPr>
                <w:sz w:val="18"/>
                <w:szCs w:val="18"/>
              </w:rPr>
            </w:pPr>
            <w:r w:rsidRPr="00AA2CAD">
              <w:rPr>
                <w:sz w:val="18"/>
                <w:szCs w:val="18"/>
              </w:rPr>
              <w:t>0.41%</w:t>
            </w:r>
          </w:p>
        </w:tc>
      </w:tr>
      <w:tr w:rsidR="000A08CF" w:rsidRPr="00AA2CAD" w14:paraId="16CF606D" w14:textId="77777777" w:rsidTr="001C6087">
        <w:trPr>
          <w:trHeight w:val="300"/>
        </w:trPr>
        <w:tc>
          <w:tcPr>
            <w:tcW w:w="2405" w:type="dxa"/>
            <w:noWrap/>
            <w:vAlign w:val="center"/>
            <w:hideMark/>
          </w:tcPr>
          <w:p w14:paraId="725C9F03" w14:textId="0AB07B72"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664D3D7C" w14:textId="3E3A8862" w:rsidR="000A08CF" w:rsidRPr="00AA2CAD" w:rsidRDefault="000A08CF" w:rsidP="000A08CF">
            <w:pPr>
              <w:rPr>
                <w:sz w:val="18"/>
                <w:szCs w:val="18"/>
              </w:rPr>
            </w:pPr>
            <w:r w:rsidRPr="00AA2CAD">
              <w:rPr>
                <w:sz w:val="18"/>
                <w:szCs w:val="18"/>
              </w:rPr>
              <w:t>Leonardo Spa</w:t>
            </w:r>
          </w:p>
        </w:tc>
        <w:tc>
          <w:tcPr>
            <w:tcW w:w="2693" w:type="dxa"/>
            <w:noWrap/>
            <w:vAlign w:val="center"/>
            <w:hideMark/>
          </w:tcPr>
          <w:p w14:paraId="3C3CA094" w14:textId="13F9B76D"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7CE92222" w14:textId="77777777" w:rsidR="000A08CF" w:rsidRPr="00AA2CAD" w:rsidRDefault="000A08CF" w:rsidP="00AA2CAD">
            <w:pPr>
              <w:jc w:val="right"/>
              <w:rPr>
                <w:sz w:val="18"/>
                <w:szCs w:val="18"/>
              </w:rPr>
            </w:pPr>
            <w:r w:rsidRPr="00AA2CAD">
              <w:rPr>
                <w:sz w:val="18"/>
                <w:szCs w:val="18"/>
              </w:rPr>
              <w:t>0.02%</w:t>
            </w:r>
          </w:p>
        </w:tc>
      </w:tr>
      <w:tr w:rsidR="000A08CF" w:rsidRPr="00AA2CAD" w14:paraId="5402E27A" w14:textId="77777777" w:rsidTr="001C6087">
        <w:trPr>
          <w:trHeight w:val="300"/>
        </w:trPr>
        <w:tc>
          <w:tcPr>
            <w:tcW w:w="2405" w:type="dxa"/>
            <w:noWrap/>
            <w:vAlign w:val="center"/>
            <w:hideMark/>
          </w:tcPr>
          <w:p w14:paraId="2CB2E2A2" w14:textId="5491BD30"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65AD1AB2" w14:textId="5EDBBC81" w:rsidR="000A08CF" w:rsidRPr="00AA2CAD" w:rsidRDefault="000A08CF" w:rsidP="000A08CF">
            <w:pPr>
              <w:rPr>
                <w:sz w:val="18"/>
                <w:szCs w:val="18"/>
              </w:rPr>
            </w:pPr>
            <w:r w:rsidRPr="00AA2CAD">
              <w:rPr>
                <w:sz w:val="18"/>
                <w:szCs w:val="18"/>
              </w:rPr>
              <w:t>Safran</w:t>
            </w:r>
          </w:p>
        </w:tc>
        <w:tc>
          <w:tcPr>
            <w:tcW w:w="2693" w:type="dxa"/>
            <w:noWrap/>
            <w:vAlign w:val="center"/>
            <w:hideMark/>
          </w:tcPr>
          <w:p w14:paraId="3CE60132" w14:textId="376081A5"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5EC8AF88" w14:textId="77777777" w:rsidR="000A08CF" w:rsidRPr="00AA2CAD" w:rsidRDefault="000A08CF" w:rsidP="00AA2CAD">
            <w:pPr>
              <w:jc w:val="right"/>
              <w:rPr>
                <w:sz w:val="18"/>
                <w:szCs w:val="18"/>
              </w:rPr>
            </w:pPr>
            <w:r w:rsidRPr="00AA2CAD">
              <w:rPr>
                <w:sz w:val="18"/>
                <w:szCs w:val="18"/>
              </w:rPr>
              <w:t>0.12%</w:t>
            </w:r>
          </w:p>
        </w:tc>
      </w:tr>
      <w:tr w:rsidR="000A08CF" w:rsidRPr="00AA2CAD" w14:paraId="3D17BA11" w14:textId="77777777" w:rsidTr="001C6087">
        <w:trPr>
          <w:trHeight w:val="300"/>
        </w:trPr>
        <w:tc>
          <w:tcPr>
            <w:tcW w:w="2405" w:type="dxa"/>
            <w:noWrap/>
            <w:vAlign w:val="center"/>
            <w:hideMark/>
          </w:tcPr>
          <w:p w14:paraId="0DB735A5" w14:textId="7113EA21" w:rsidR="000A08CF" w:rsidRPr="00AA2CAD" w:rsidRDefault="000A08CF" w:rsidP="000A08CF">
            <w:pPr>
              <w:rPr>
                <w:sz w:val="18"/>
                <w:szCs w:val="18"/>
              </w:rPr>
            </w:pPr>
            <w:r w:rsidRPr="00AA2CAD">
              <w:rPr>
                <w:sz w:val="18"/>
                <w:szCs w:val="18"/>
              </w:rPr>
              <w:t>LCIV Mac Fund</w:t>
            </w:r>
          </w:p>
        </w:tc>
        <w:tc>
          <w:tcPr>
            <w:tcW w:w="2977" w:type="dxa"/>
            <w:noWrap/>
            <w:vAlign w:val="center"/>
            <w:hideMark/>
          </w:tcPr>
          <w:p w14:paraId="4891ADD1" w14:textId="7BB025CF" w:rsidR="000A08CF" w:rsidRPr="00AA2CAD" w:rsidRDefault="000A08CF" w:rsidP="000A08CF">
            <w:pPr>
              <w:rPr>
                <w:sz w:val="18"/>
                <w:szCs w:val="18"/>
              </w:rPr>
            </w:pPr>
            <w:r w:rsidRPr="00AA2CAD">
              <w:rPr>
                <w:sz w:val="18"/>
                <w:szCs w:val="18"/>
              </w:rPr>
              <w:t>Sony Group</w:t>
            </w:r>
          </w:p>
        </w:tc>
        <w:tc>
          <w:tcPr>
            <w:tcW w:w="2693" w:type="dxa"/>
            <w:noWrap/>
            <w:vAlign w:val="center"/>
            <w:hideMark/>
          </w:tcPr>
          <w:p w14:paraId="17C61195" w14:textId="4EE8D9FF"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249D2EC3" w14:textId="77777777" w:rsidR="000A08CF" w:rsidRPr="00AA2CAD" w:rsidRDefault="000A08CF" w:rsidP="00AA2CAD">
            <w:pPr>
              <w:jc w:val="right"/>
              <w:rPr>
                <w:sz w:val="18"/>
                <w:szCs w:val="18"/>
              </w:rPr>
            </w:pPr>
            <w:r w:rsidRPr="00AA2CAD">
              <w:rPr>
                <w:sz w:val="18"/>
                <w:szCs w:val="18"/>
              </w:rPr>
              <w:t>0.10%</w:t>
            </w:r>
          </w:p>
        </w:tc>
      </w:tr>
      <w:tr w:rsidR="000A08CF" w:rsidRPr="00AA2CAD" w14:paraId="52226F34" w14:textId="77777777" w:rsidTr="001C6087">
        <w:trPr>
          <w:trHeight w:val="300"/>
        </w:trPr>
        <w:tc>
          <w:tcPr>
            <w:tcW w:w="2405" w:type="dxa"/>
            <w:noWrap/>
            <w:vAlign w:val="center"/>
            <w:hideMark/>
          </w:tcPr>
          <w:p w14:paraId="524A061A" w14:textId="710BCB81" w:rsidR="000A08CF" w:rsidRPr="00AA2CAD" w:rsidRDefault="000A08CF" w:rsidP="000A08CF">
            <w:pPr>
              <w:rPr>
                <w:sz w:val="18"/>
                <w:szCs w:val="18"/>
              </w:rPr>
            </w:pPr>
            <w:r w:rsidRPr="00AA2CAD">
              <w:rPr>
                <w:sz w:val="18"/>
                <w:szCs w:val="18"/>
              </w:rPr>
              <w:t>LCIV Real Return</w:t>
            </w:r>
          </w:p>
        </w:tc>
        <w:tc>
          <w:tcPr>
            <w:tcW w:w="2977" w:type="dxa"/>
            <w:noWrap/>
            <w:vAlign w:val="center"/>
            <w:hideMark/>
          </w:tcPr>
          <w:p w14:paraId="7CD8EACF" w14:textId="792E69D2" w:rsidR="000A08CF" w:rsidRPr="00AA2CAD" w:rsidRDefault="000A08CF" w:rsidP="000A08CF">
            <w:pPr>
              <w:rPr>
                <w:sz w:val="18"/>
                <w:szCs w:val="18"/>
              </w:rPr>
            </w:pPr>
            <w:r w:rsidRPr="00AA2CAD">
              <w:rPr>
                <w:sz w:val="18"/>
                <w:szCs w:val="18"/>
              </w:rPr>
              <w:t>Bae Systems</w:t>
            </w:r>
          </w:p>
        </w:tc>
        <w:tc>
          <w:tcPr>
            <w:tcW w:w="2693" w:type="dxa"/>
            <w:noWrap/>
            <w:vAlign w:val="center"/>
            <w:hideMark/>
          </w:tcPr>
          <w:p w14:paraId="28B4FF76" w14:textId="3AB5D746"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42B919E0" w14:textId="77777777" w:rsidR="000A08CF" w:rsidRPr="00AA2CAD" w:rsidRDefault="000A08CF" w:rsidP="00AA2CAD">
            <w:pPr>
              <w:jc w:val="right"/>
              <w:rPr>
                <w:sz w:val="18"/>
                <w:szCs w:val="18"/>
              </w:rPr>
            </w:pPr>
            <w:r w:rsidRPr="00AA2CAD">
              <w:rPr>
                <w:sz w:val="18"/>
                <w:szCs w:val="18"/>
              </w:rPr>
              <w:t>0.42%</w:t>
            </w:r>
          </w:p>
        </w:tc>
      </w:tr>
      <w:tr w:rsidR="000A08CF" w:rsidRPr="00AA2CAD" w14:paraId="2729B82A" w14:textId="77777777" w:rsidTr="001C6087">
        <w:trPr>
          <w:trHeight w:val="300"/>
        </w:trPr>
        <w:tc>
          <w:tcPr>
            <w:tcW w:w="2405" w:type="dxa"/>
            <w:noWrap/>
            <w:vAlign w:val="center"/>
            <w:hideMark/>
          </w:tcPr>
          <w:p w14:paraId="0E110D03" w14:textId="2BE460A6" w:rsidR="000A08CF" w:rsidRPr="00AA2CAD" w:rsidRDefault="000A08CF" w:rsidP="000A08CF">
            <w:pPr>
              <w:rPr>
                <w:sz w:val="18"/>
                <w:szCs w:val="18"/>
              </w:rPr>
            </w:pPr>
            <w:r w:rsidRPr="00AA2CAD">
              <w:rPr>
                <w:sz w:val="18"/>
                <w:szCs w:val="18"/>
              </w:rPr>
              <w:t>LCIV Real Return</w:t>
            </w:r>
          </w:p>
        </w:tc>
        <w:tc>
          <w:tcPr>
            <w:tcW w:w="2977" w:type="dxa"/>
            <w:noWrap/>
            <w:vAlign w:val="center"/>
            <w:hideMark/>
          </w:tcPr>
          <w:p w14:paraId="3F2CEDE1" w14:textId="5D990A14" w:rsidR="000A08CF" w:rsidRPr="00AA2CAD" w:rsidRDefault="000A08CF" w:rsidP="000A08CF">
            <w:pPr>
              <w:rPr>
                <w:sz w:val="18"/>
                <w:szCs w:val="18"/>
              </w:rPr>
            </w:pPr>
            <w:r w:rsidRPr="00AA2CAD">
              <w:rPr>
                <w:sz w:val="18"/>
                <w:szCs w:val="18"/>
              </w:rPr>
              <w:t>Lockheed Martin</w:t>
            </w:r>
          </w:p>
        </w:tc>
        <w:tc>
          <w:tcPr>
            <w:tcW w:w="2693" w:type="dxa"/>
            <w:noWrap/>
            <w:vAlign w:val="center"/>
            <w:hideMark/>
          </w:tcPr>
          <w:p w14:paraId="39AE96A6" w14:textId="7BB60033"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79D623D6" w14:textId="77777777" w:rsidR="000A08CF" w:rsidRPr="00AA2CAD" w:rsidRDefault="000A08CF" w:rsidP="00AA2CAD">
            <w:pPr>
              <w:jc w:val="right"/>
              <w:rPr>
                <w:sz w:val="18"/>
                <w:szCs w:val="18"/>
              </w:rPr>
            </w:pPr>
            <w:r w:rsidRPr="00AA2CAD">
              <w:rPr>
                <w:sz w:val="18"/>
                <w:szCs w:val="18"/>
              </w:rPr>
              <w:t>0.47%</w:t>
            </w:r>
          </w:p>
        </w:tc>
      </w:tr>
      <w:tr w:rsidR="000A08CF" w:rsidRPr="00AA2CAD" w14:paraId="023F0160" w14:textId="77777777" w:rsidTr="001C6087">
        <w:trPr>
          <w:trHeight w:val="300"/>
        </w:trPr>
        <w:tc>
          <w:tcPr>
            <w:tcW w:w="2405" w:type="dxa"/>
            <w:noWrap/>
            <w:vAlign w:val="center"/>
            <w:hideMark/>
          </w:tcPr>
          <w:p w14:paraId="068ADAA2" w14:textId="417E5B87" w:rsidR="000A08CF" w:rsidRPr="00AA2CAD" w:rsidRDefault="000A08CF" w:rsidP="000A08CF">
            <w:pPr>
              <w:rPr>
                <w:sz w:val="18"/>
                <w:szCs w:val="18"/>
              </w:rPr>
            </w:pPr>
            <w:r w:rsidRPr="00AA2CAD">
              <w:rPr>
                <w:sz w:val="18"/>
                <w:szCs w:val="18"/>
              </w:rPr>
              <w:t>LCIV Real Return</w:t>
            </w:r>
          </w:p>
        </w:tc>
        <w:tc>
          <w:tcPr>
            <w:tcW w:w="2977" w:type="dxa"/>
            <w:noWrap/>
            <w:vAlign w:val="center"/>
            <w:hideMark/>
          </w:tcPr>
          <w:p w14:paraId="17F2353F" w14:textId="5165E543" w:rsidR="000A08CF" w:rsidRPr="00AA2CAD" w:rsidRDefault="000A08CF" w:rsidP="000A08CF">
            <w:pPr>
              <w:rPr>
                <w:sz w:val="18"/>
                <w:szCs w:val="18"/>
              </w:rPr>
            </w:pPr>
            <w:r w:rsidRPr="00AA2CAD">
              <w:rPr>
                <w:sz w:val="18"/>
                <w:szCs w:val="18"/>
              </w:rPr>
              <w:t>Alphabet</w:t>
            </w:r>
          </w:p>
        </w:tc>
        <w:tc>
          <w:tcPr>
            <w:tcW w:w="2693" w:type="dxa"/>
            <w:noWrap/>
            <w:vAlign w:val="center"/>
            <w:hideMark/>
          </w:tcPr>
          <w:p w14:paraId="41F174CC" w14:textId="5939B5C2"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671A97D0" w14:textId="77777777" w:rsidR="000A08CF" w:rsidRPr="00AA2CAD" w:rsidRDefault="000A08CF" w:rsidP="00AA2CAD">
            <w:pPr>
              <w:jc w:val="right"/>
              <w:rPr>
                <w:sz w:val="18"/>
                <w:szCs w:val="18"/>
              </w:rPr>
            </w:pPr>
            <w:r w:rsidRPr="00AA2CAD">
              <w:rPr>
                <w:sz w:val="18"/>
                <w:szCs w:val="18"/>
              </w:rPr>
              <w:t>1.00%</w:t>
            </w:r>
          </w:p>
        </w:tc>
      </w:tr>
      <w:tr w:rsidR="000A08CF" w:rsidRPr="00AA2CAD" w14:paraId="79963392" w14:textId="77777777" w:rsidTr="001C6087">
        <w:trPr>
          <w:trHeight w:val="300"/>
        </w:trPr>
        <w:tc>
          <w:tcPr>
            <w:tcW w:w="2405" w:type="dxa"/>
            <w:noWrap/>
            <w:vAlign w:val="center"/>
            <w:hideMark/>
          </w:tcPr>
          <w:p w14:paraId="46246830" w14:textId="7B4FD298" w:rsidR="000A08CF" w:rsidRPr="00AA2CAD" w:rsidRDefault="000A08CF" w:rsidP="000A08CF">
            <w:pPr>
              <w:rPr>
                <w:sz w:val="18"/>
                <w:szCs w:val="18"/>
              </w:rPr>
            </w:pPr>
            <w:r w:rsidRPr="00AA2CAD">
              <w:rPr>
                <w:sz w:val="18"/>
                <w:szCs w:val="18"/>
              </w:rPr>
              <w:t>LCIV Real Return</w:t>
            </w:r>
          </w:p>
        </w:tc>
        <w:tc>
          <w:tcPr>
            <w:tcW w:w="2977" w:type="dxa"/>
            <w:noWrap/>
            <w:vAlign w:val="center"/>
            <w:hideMark/>
          </w:tcPr>
          <w:p w14:paraId="7DBDC8A3" w14:textId="44424C44" w:rsidR="000A08CF" w:rsidRPr="00AA2CAD" w:rsidRDefault="000A08CF" w:rsidP="000A08CF">
            <w:pPr>
              <w:rPr>
                <w:sz w:val="18"/>
                <w:szCs w:val="18"/>
              </w:rPr>
            </w:pPr>
            <w:r w:rsidRPr="00AA2CAD">
              <w:rPr>
                <w:sz w:val="18"/>
                <w:szCs w:val="18"/>
              </w:rPr>
              <w:t>Microsoft Corporation</w:t>
            </w:r>
          </w:p>
        </w:tc>
        <w:tc>
          <w:tcPr>
            <w:tcW w:w="2693" w:type="dxa"/>
            <w:noWrap/>
            <w:vAlign w:val="center"/>
            <w:hideMark/>
          </w:tcPr>
          <w:p w14:paraId="74C705D4" w14:textId="1B797BEE"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12379685" w14:textId="77777777" w:rsidR="000A08CF" w:rsidRPr="00AA2CAD" w:rsidRDefault="000A08CF" w:rsidP="00AA2CAD">
            <w:pPr>
              <w:jc w:val="right"/>
              <w:rPr>
                <w:sz w:val="18"/>
                <w:szCs w:val="18"/>
              </w:rPr>
            </w:pPr>
            <w:r w:rsidRPr="00AA2CAD">
              <w:rPr>
                <w:sz w:val="18"/>
                <w:szCs w:val="18"/>
              </w:rPr>
              <w:t>1.10%</w:t>
            </w:r>
          </w:p>
        </w:tc>
      </w:tr>
      <w:tr w:rsidR="000A08CF" w:rsidRPr="00AA2CAD" w14:paraId="03B817A6" w14:textId="77777777" w:rsidTr="001C6087">
        <w:trPr>
          <w:trHeight w:val="300"/>
        </w:trPr>
        <w:tc>
          <w:tcPr>
            <w:tcW w:w="2405" w:type="dxa"/>
            <w:noWrap/>
            <w:vAlign w:val="center"/>
            <w:hideMark/>
          </w:tcPr>
          <w:p w14:paraId="12455E47" w14:textId="22C61599"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0A3E958D" w14:textId="5F2A894D" w:rsidR="000A08CF" w:rsidRPr="00AA2CAD" w:rsidRDefault="000A08CF" w:rsidP="000A08CF">
            <w:pPr>
              <w:rPr>
                <w:sz w:val="18"/>
                <w:szCs w:val="18"/>
              </w:rPr>
            </w:pPr>
            <w:r w:rsidRPr="00AA2CAD">
              <w:rPr>
                <w:sz w:val="18"/>
                <w:szCs w:val="18"/>
              </w:rPr>
              <w:t>Albemarle Corporation</w:t>
            </w:r>
          </w:p>
        </w:tc>
        <w:tc>
          <w:tcPr>
            <w:tcW w:w="2693" w:type="dxa"/>
            <w:noWrap/>
            <w:vAlign w:val="center"/>
            <w:hideMark/>
          </w:tcPr>
          <w:p w14:paraId="1DFBE7D7" w14:textId="69BA346B"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63F9DD9F" w14:textId="77777777" w:rsidR="000A08CF" w:rsidRPr="00AA2CAD" w:rsidRDefault="000A08CF" w:rsidP="00AA2CAD">
            <w:pPr>
              <w:jc w:val="right"/>
              <w:rPr>
                <w:sz w:val="18"/>
                <w:szCs w:val="18"/>
              </w:rPr>
            </w:pPr>
            <w:r w:rsidRPr="00AA2CAD">
              <w:rPr>
                <w:sz w:val="18"/>
                <w:szCs w:val="18"/>
              </w:rPr>
              <w:t>0.12%</w:t>
            </w:r>
          </w:p>
        </w:tc>
      </w:tr>
      <w:tr w:rsidR="000A08CF" w:rsidRPr="00AA2CAD" w14:paraId="56999B50" w14:textId="77777777" w:rsidTr="001C6087">
        <w:trPr>
          <w:trHeight w:val="300"/>
        </w:trPr>
        <w:tc>
          <w:tcPr>
            <w:tcW w:w="2405" w:type="dxa"/>
            <w:noWrap/>
            <w:vAlign w:val="center"/>
            <w:hideMark/>
          </w:tcPr>
          <w:p w14:paraId="486FEA96" w14:textId="7AB99F68"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08874793" w14:textId="4F027767" w:rsidR="000A08CF" w:rsidRPr="00AA2CAD" w:rsidRDefault="000A08CF" w:rsidP="000A08CF">
            <w:pPr>
              <w:rPr>
                <w:sz w:val="18"/>
                <w:szCs w:val="18"/>
              </w:rPr>
            </w:pPr>
            <w:r w:rsidRPr="00AA2CAD">
              <w:rPr>
                <w:sz w:val="18"/>
                <w:szCs w:val="18"/>
              </w:rPr>
              <w:t>Alphabet</w:t>
            </w:r>
          </w:p>
        </w:tc>
        <w:tc>
          <w:tcPr>
            <w:tcW w:w="2693" w:type="dxa"/>
            <w:noWrap/>
            <w:vAlign w:val="center"/>
            <w:hideMark/>
          </w:tcPr>
          <w:p w14:paraId="48D18607" w14:textId="4E0B8679"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290F9A27" w14:textId="77777777" w:rsidR="000A08CF" w:rsidRPr="00AA2CAD" w:rsidRDefault="000A08CF" w:rsidP="00AA2CAD">
            <w:pPr>
              <w:jc w:val="right"/>
              <w:rPr>
                <w:sz w:val="18"/>
                <w:szCs w:val="18"/>
              </w:rPr>
            </w:pPr>
            <w:r w:rsidRPr="00AA2CAD">
              <w:rPr>
                <w:sz w:val="18"/>
                <w:szCs w:val="18"/>
              </w:rPr>
              <w:t>0.10%</w:t>
            </w:r>
          </w:p>
        </w:tc>
      </w:tr>
      <w:tr w:rsidR="000A08CF" w:rsidRPr="00AA2CAD" w14:paraId="0B0FF1B6" w14:textId="77777777" w:rsidTr="001C6087">
        <w:trPr>
          <w:trHeight w:val="300"/>
        </w:trPr>
        <w:tc>
          <w:tcPr>
            <w:tcW w:w="2405" w:type="dxa"/>
            <w:noWrap/>
            <w:vAlign w:val="center"/>
            <w:hideMark/>
          </w:tcPr>
          <w:p w14:paraId="5DE84166" w14:textId="37FC2281"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3221D121" w14:textId="40C8F4A9" w:rsidR="000A08CF" w:rsidRPr="00AA2CAD" w:rsidRDefault="000A08CF" w:rsidP="000A08CF">
            <w:pPr>
              <w:rPr>
                <w:sz w:val="18"/>
                <w:szCs w:val="18"/>
              </w:rPr>
            </w:pPr>
            <w:r w:rsidRPr="00AA2CAD">
              <w:rPr>
                <w:sz w:val="18"/>
                <w:szCs w:val="18"/>
              </w:rPr>
              <w:t>Atlas Copco</w:t>
            </w:r>
          </w:p>
        </w:tc>
        <w:tc>
          <w:tcPr>
            <w:tcW w:w="2693" w:type="dxa"/>
            <w:noWrap/>
            <w:vAlign w:val="center"/>
            <w:hideMark/>
          </w:tcPr>
          <w:p w14:paraId="5660A81E" w14:textId="657FDFA5"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551E6B87" w14:textId="77777777" w:rsidR="000A08CF" w:rsidRPr="00AA2CAD" w:rsidRDefault="000A08CF" w:rsidP="00AA2CAD">
            <w:pPr>
              <w:jc w:val="right"/>
              <w:rPr>
                <w:sz w:val="18"/>
                <w:szCs w:val="18"/>
              </w:rPr>
            </w:pPr>
            <w:r w:rsidRPr="00AA2CAD">
              <w:rPr>
                <w:sz w:val="18"/>
                <w:szCs w:val="18"/>
              </w:rPr>
              <w:t>0.10%</w:t>
            </w:r>
          </w:p>
        </w:tc>
      </w:tr>
      <w:tr w:rsidR="000A08CF" w:rsidRPr="00AA2CAD" w14:paraId="444120F2" w14:textId="77777777" w:rsidTr="001C6087">
        <w:trPr>
          <w:trHeight w:val="300"/>
        </w:trPr>
        <w:tc>
          <w:tcPr>
            <w:tcW w:w="2405" w:type="dxa"/>
            <w:noWrap/>
            <w:vAlign w:val="center"/>
            <w:hideMark/>
          </w:tcPr>
          <w:p w14:paraId="7DB89A85" w14:textId="3383E129"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2E0CE47E" w14:textId="7B8B0325" w:rsidR="000A08CF" w:rsidRPr="00AA2CAD" w:rsidRDefault="000A08CF" w:rsidP="000A08CF">
            <w:pPr>
              <w:rPr>
                <w:sz w:val="18"/>
                <w:szCs w:val="18"/>
              </w:rPr>
            </w:pPr>
            <w:r w:rsidRPr="00AA2CAD">
              <w:rPr>
                <w:sz w:val="18"/>
                <w:szCs w:val="18"/>
              </w:rPr>
              <w:t>Atlas Copco</w:t>
            </w:r>
          </w:p>
        </w:tc>
        <w:tc>
          <w:tcPr>
            <w:tcW w:w="2693" w:type="dxa"/>
            <w:noWrap/>
            <w:vAlign w:val="center"/>
            <w:hideMark/>
          </w:tcPr>
          <w:p w14:paraId="3FA67922" w14:textId="0D06468A"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7081F281" w14:textId="77777777" w:rsidR="000A08CF" w:rsidRPr="00AA2CAD" w:rsidRDefault="000A08CF" w:rsidP="00AA2CAD">
            <w:pPr>
              <w:jc w:val="right"/>
              <w:rPr>
                <w:sz w:val="18"/>
                <w:szCs w:val="18"/>
              </w:rPr>
            </w:pPr>
            <w:r w:rsidRPr="00AA2CAD">
              <w:rPr>
                <w:sz w:val="18"/>
                <w:szCs w:val="18"/>
              </w:rPr>
              <w:t>0.04%</w:t>
            </w:r>
          </w:p>
        </w:tc>
      </w:tr>
      <w:tr w:rsidR="000A08CF" w:rsidRPr="00AA2CAD" w14:paraId="7CAD9AB8" w14:textId="77777777" w:rsidTr="001C6087">
        <w:trPr>
          <w:trHeight w:val="300"/>
        </w:trPr>
        <w:tc>
          <w:tcPr>
            <w:tcW w:w="2405" w:type="dxa"/>
            <w:noWrap/>
            <w:vAlign w:val="center"/>
            <w:hideMark/>
          </w:tcPr>
          <w:p w14:paraId="1199B4EA" w14:textId="6FAE6103"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50BE360B" w14:textId="1E6828E5" w:rsidR="000A08CF" w:rsidRPr="00AA2CAD" w:rsidRDefault="000A08CF" w:rsidP="000A08CF">
            <w:pPr>
              <w:rPr>
                <w:sz w:val="18"/>
                <w:szCs w:val="18"/>
              </w:rPr>
            </w:pPr>
            <w:r w:rsidRPr="00AA2CAD">
              <w:rPr>
                <w:sz w:val="18"/>
                <w:szCs w:val="18"/>
              </w:rPr>
              <w:t>Barclays</w:t>
            </w:r>
          </w:p>
        </w:tc>
        <w:tc>
          <w:tcPr>
            <w:tcW w:w="2693" w:type="dxa"/>
            <w:noWrap/>
            <w:vAlign w:val="center"/>
            <w:hideMark/>
          </w:tcPr>
          <w:p w14:paraId="2C2C3750" w14:textId="17FC15ED"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3752C072" w14:textId="77777777" w:rsidR="000A08CF" w:rsidRPr="00AA2CAD" w:rsidRDefault="000A08CF" w:rsidP="00AA2CAD">
            <w:pPr>
              <w:jc w:val="right"/>
              <w:rPr>
                <w:sz w:val="18"/>
                <w:szCs w:val="18"/>
              </w:rPr>
            </w:pPr>
            <w:r w:rsidRPr="00AA2CAD">
              <w:rPr>
                <w:sz w:val="18"/>
                <w:szCs w:val="18"/>
              </w:rPr>
              <w:t>0.01%</w:t>
            </w:r>
          </w:p>
        </w:tc>
      </w:tr>
      <w:tr w:rsidR="000A08CF" w:rsidRPr="00AA2CAD" w14:paraId="789B13A1" w14:textId="77777777" w:rsidTr="001C6087">
        <w:trPr>
          <w:trHeight w:val="300"/>
        </w:trPr>
        <w:tc>
          <w:tcPr>
            <w:tcW w:w="2405" w:type="dxa"/>
            <w:noWrap/>
            <w:vAlign w:val="center"/>
            <w:hideMark/>
          </w:tcPr>
          <w:p w14:paraId="2B1585B9" w14:textId="388036FE"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73B7CDDD" w14:textId="33C7AAE6" w:rsidR="000A08CF" w:rsidRPr="00AA2CAD" w:rsidRDefault="000A08CF" w:rsidP="000A08CF">
            <w:pPr>
              <w:rPr>
                <w:sz w:val="18"/>
                <w:szCs w:val="18"/>
              </w:rPr>
            </w:pPr>
            <w:r w:rsidRPr="00AA2CAD">
              <w:rPr>
                <w:sz w:val="18"/>
                <w:szCs w:val="18"/>
              </w:rPr>
              <w:t>Barclays</w:t>
            </w:r>
          </w:p>
        </w:tc>
        <w:tc>
          <w:tcPr>
            <w:tcW w:w="2693" w:type="dxa"/>
            <w:noWrap/>
            <w:vAlign w:val="center"/>
            <w:hideMark/>
          </w:tcPr>
          <w:p w14:paraId="6D61984F" w14:textId="63714B36"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541D06CF" w14:textId="77777777" w:rsidR="000A08CF" w:rsidRPr="00AA2CAD" w:rsidRDefault="000A08CF" w:rsidP="00AA2CAD">
            <w:pPr>
              <w:jc w:val="right"/>
              <w:rPr>
                <w:sz w:val="18"/>
                <w:szCs w:val="18"/>
              </w:rPr>
            </w:pPr>
            <w:r w:rsidRPr="00AA2CAD">
              <w:rPr>
                <w:sz w:val="18"/>
                <w:szCs w:val="18"/>
              </w:rPr>
              <w:t>0.36%</w:t>
            </w:r>
          </w:p>
        </w:tc>
      </w:tr>
      <w:tr w:rsidR="000A08CF" w:rsidRPr="00AA2CAD" w14:paraId="214C6954" w14:textId="77777777" w:rsidTr="001C6087">
        <w:trPr>
          <w:trHeight w:val="300"/>
        </w:trPr>
        <w:tc>
          <w:tcPr>
            <w:tcW w:w="2405" w:type="dxa"/>
            <w:noWrap/>
            <w:vAlign w:val="center"/>
            <w:hideMark/>
          </w:tcPr>
          <w:p w14:paraId="704CFEEC" w14:textId="5B1F2355"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54DC9241" w14:textId="36696220" w:rsidR="000A08CF" w:rsidRPr="00AA2CAD" w:rsidRDefault="000A08CF" w:rsidP="000A08CF">
            <w:pPr>
              <w:rPr>
                <w:sz w:val="18"/>
                <w:szCs w:val="18"/>
              </w:rPr>
            </w:pPr>
            <w:r w:rsidRPr="00AA2CAD">
              <w:rPr>
                <w:sz w:val="18"/>
                <w:szCs w:val="18"/>
              </w:rPr>
              <w:t>Booking Holdings</w:t>
            </w:r>
          </w:p>
        </w:tc>
        <w:tc>
          <w:tcPr>
            <w:tcW w:w="2693" w:type="dxa"/>
            <w:noWrap/>
            <w:vAlign w:val="center"/>
            <w:hideMark/>
          </w:tcPr>
          <w:p w14:paraId="2CE39E75" w14:textId="2EF262DF" w:rsidR="000A08CF" w:rsidRPr="00AA2CAD" w:rsidRDefault="000A08CF" w:rsidP="000A08CF">
            <w:pPr>
              <w:rPr>
                <w:sz w:val="18"/>
                <w:szCs w:val="18"/>
              </w:rPr>
            </w:pPr>
            <w:r w:rsidRPr="00AA2CAD">
              <w:rPr>
                <w:sz w:val="18"/>
                <w:szCs w:val="18"/>
              </w:rPr>
              <w:t>Who Profits/Investigate/</w:t>
            </w:r>
            <w:r w:rsidR="001169B5" w:rsidRPr="00AA2CAD">
              <w:rPr>
                <w:sz w:val="18"/>
                <w:szCs w:val="18"/>
              </w:rPr>
              <w:t>OHCHR</w:t>
            </w:r>
          </w:p>
        </w:tc>
        <w:tc>
          <w:tcPr>
            <w:tcW w:w="1843" w:type="dxa"/>
            <w:noWrap/>
            <w:vAlign w:val="center"/>
            <w:hideMark/>
          </w:tcPr>
          <w:p w14:paraId="3342B5FD" w14:textId="77777777" w:rsidR="000A08CF" w:rsidRPr="00AA2CAD" w:rsidRDefault="000A08CF" w:rsidP="00AA2CAD">
            <w:pPr>
              <w:jc w:val="right"/>
              <w:rPr>
                <w:sz w:val="18"/>
                <w:szCs w:val="18"/>
              </w:rPr>
            </w:pPr>
            <w:r w:rsidRPr="00AA2CAD">
              <w:rPr>
                <w:sz w:val="18"/>
                <w:szCs w:val="18"/>
              </w:rPr>
              <w:t>0.23%</w:t>
            </w:r>
          </w:p>
        </w:tc>
      </w:tr>
      <w:tr w:rsidR="000A08CF" w:rsidRPr="00AA2CAD" w14:paraId="5AFC3312" w14:textId="77777777" w:rsidTr="001C6087">
        <w:trPr>
          <w:trHeight w:val="300"/>
        </w:trPr>
        <w:tc>
          <w:tcPr>
            <w:tcW w:w="2405" w:type="dxa"/>
            <w:noWrap/>
            <w:vAlign w:val="center"/>
            <w:hideMark/>
          </w:tcPr>
          <w:p w14:paraId="0B717AC2" w14:textId="68A7937C"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1B7F23A5" w14:textId="0C4133BE" w:rsidR="000A08CF" w:rsidRPr="00AA2CAD" w:rsidRDefault="000A08CF" w:rsidP="000A08CF">
            <w:pPr>
              <w:rPr>
                <w:sz w:val="18"/>
                <w:szCs w:val="18"/>
              </w:rPr>
            </w:pPr>
            <w:r w:rsidRPr="00AA2CAD">
              <w:rPr>
                <w:sz w:val="18"/>
                <w:szCs w:val="18"/>
              </w:rPr>
              <w:t>Cisco Systems</w:t>
            </w:r>
          </w:p>
        </w:tc>
        <w:tc>
          <w:tcPr>
            <w:tcW w:w="2693" w:type="dxa"/>
            <w:noWrap/>
            <w:vAlign w:val="center"/>
            <w:hideMark/>
          </w:tcPr>
          <w:p w14:paraId="77872922" w14:textId="42CE9ED7"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17420666" w14:textId="77777777" w:rsidR="000A08CF" w:rsidRPr="00AA2CAD" w:rsidRDefault="000A08CF" w:rsidP="00AA2CAD">
            <w:pPr>
              <w:jc w:val="right"/>
              <w:rPr>
                <w:sz w:val="18"/>
                <w:szCs w:val="18"/>
              </w:rPr>
            </w:pPr>
            <w:r w:rsidRPr="00AA2CAD">
              <w:rPr>
                <w:sz w:val="18"/>
                <w:szCs w:val="18"/>
              </w:rPr>
              <w:t>0.05%</w:t>
            </w:r>
          </w:p>
        </w:tc>
      </w:tr>
      <w:tr w:rsidR="000A08CF" w:rsidRPr="00AA2CAD" w14:paraId="760ABFFC" w14:textId="77777777" w:rsidTr="001C6087">
        <w:trPr>
          <w:trHeight w:val="300"/>
        </w:trPr>
        <w:tc>
          <w:tcPr>
            <w:tcW w:w="2405" w:type="dxa"/>
            <w:noWrap/>
            <w:vAlign w:val="center"/>
            <w:hideMark/>
          </w:tcPr>
          <w:p w14:paraId="18402656" w14:textId="30775218"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700B8130" w14:textId="4E4AEDDF" w:rsidR="000A08CF" w:rsidRPr="00AA2CAD" w:rsidRDefault="000A08CF" w:rsidP="000A08CF">
            <w:pPr>
              <w:rPr>
                <w:sz w:val="18"/>
                <w:szCs w:val="18"/>
              </w:rPr>
            </w:pPr>
            <w:r w:rsidRPr="00AA2CAD">
              <w:rPr>
                <w:sz w:val="18"/>
                <w:szCs w:val="18"/>
              </w:rPr>
              <w:t>Facebook, Inc</w:t>
            </w:r>
          </w:p>
        </w:tc>
        <w:tc>
          <w:tcPr>
            <w:tcW w:w="2693" w:type="dxa"/>
            <w:noWrap/>
            <w:vAlign w:val="center"/>
            <w:hideMark/>
          </w:tcPr>
          <w:p w14:paraId="04680760" w14:textId="75124F2D"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25EFA7F2" w14:textId="77777777" w:rsidR="000A08CF" w:rsidRPr="00AA2CAD" w:rsidRDefault="000A08CF" w:rsidP="00AA2CAD">
            <w:pPr>
              <w:jc w:val="right"/>
              <w:rPr>
                <w:sz w:val="18"/>
                <w:szCs w:val="18"/>
              </w:rPr>
            </w:pPr>
            <w:r w:rsidRPr="00AA2CAD">
              <w:rPr>
                <w:sz w:val="18"/>
                <w:szCs w:val="18"/>
              </w:rPr>
              <w:t>0.15%</w:t>
            </w:r>
          </w:p>
        </w:tc>
      </w:tr>
      <w:tr w:rsidR="000A08CF" w:rsidRPr="00AA2CAD" w14:paraId="718347D4" w14:textId="77777777" w:rsidTr="001C6087">
        <w:trPr>
          <w:trHeight w:val="300"/>
        </w:trPr>
        <w:tc>
          <w:tcPr>
            <w:tcW w:w="2405" w:type="dxa"/>
            <w:noWrap/>
            <w:vAlign w:val="center"/>
            <w:hideMark/>
          </w:tcPr>
          <w:p w14:paraId="157414EB" w14:textId="331BD8D0"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21534447" w14:textId="1EBFB100" w:rsidR="000A08CF" w:rsidRPr="00AA2CAD" w:rsidRDefault="000A08CF" w:rsidP="000A08CF">
            <w:pPr>
              <w:rPr>
                <w:sz w:val="18"/>
                <w:szCs w:val="18"/>
              </w:rPr>
            </w:pPr>
            <w:r w:rsidRPr="00AA2CAD">
              <w:rPr>
                <w:sz w:val="18"/>
                <w:szCs w:val="18"/>
              </w:rPr>
              <w:t>HSBC</w:t>
            </w:r>
          </w:p>
        </w:tc>
        <w:tc>
          <w:tcPr>
            <w:tcW w:w="2693" w:type="dxa"/>
            <w:noWrap/>
            <w:vAlign w:val="center"/>
            <w:hideMark/>
          </w:tcPr>
          <w:p w14:paraId="126F2785" w14:textId="774A5B31" w:rsidR="000A08CF" w:rsidRPr="00AA2CAD" w:rsidRDefault="000A08CF" w:rsidP="000A08CF">
            <w:pPr>
              <w:rPr>
                <w:sz w:val="18"/>
                <w:szCs w:val="18"/>
              </w:rPr>
            </w:pPr>
            <w:r w:rsidRPr="00AA2CAD">
              <w:rPr>
                <w:sz w:val="18"/>
                <w:szCs w:val="18"/>
              </w:rPr>
              <w:t>Who Profits</w:t>
            </w:r>
          </w:p>
        </w:tc>
        <w:tc>
          <w:tcPr>
            <w:tcW w:w="1843" w:type="dxa"/>
            <w:noWrap/>
            <w:vAlign w:val="center"/>
            <w:hideMark/>
          </w:tcPr>
          <w:p w14:paraId="4D4BD6FB" w14:textId="77777777" w:rsidR="000A08CF" w:rsidRPr="00AA2CAD" w:rsidRDefault="000A08CF" w:rsidP="00AA2CAD">
            <w:pPr>
              <w:jc w:val="right"/>
              <w:rPr>
                <w:sz w:val="18"/>
                <w:szCs w:val="18"/>
              </w:rPr>
            </w:pPr>
            <w:r w:rsidRPr="00AA2CAD">
              <w:rPr>
                <w:sz w:val="18"/>
                <w:szCs w:val="18"/>
              </w:rPr>
              <w:t>0.52%</w:t>
            </w:r>
          </w:p>
        </w:tc>
      </w:tr>
      <w:tr w:rsidR="000A08CF" w:rsidRPr="00AA2CAD" w14:paraId="5E685D47" w14:textId="77777777" w:rsidTr="001C6087">
        <w:trPr>
          <w:trHeight w:val="300"/>
        </w:trPr>
        <w:tc>
          <w:tcPr>
            <w:tcW w:w="2405" w:type="dxa"/>
            <w:noWrap/>
            <w:vAlign w:val="center"/>
            <w:hideMark/>
          </w:tcPr>
          <w:p w14:paraId="54677864" w14:textId="59DC2DB6"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20826F38" w14:textId="20A8D8B0" w:rsidR="000A08CF" w:rsidRPr="00AA2CAD" w:rsidRDefault="000A08CF" w:rsidP="000A08CF">
            <w:pPr>
              <w:rPr>
                <w:sz w:val="18"/>
                <w:szCs w:val="18"/>
              </w:rPr>
            </w:pPr>
            <w:r w:rsidRPr="00AA2CAD">
              <w:rPr>
                <w:sz w:val="18"/>
                <w:szCs w:val="18"/>
              </w:rPr>
              <w:t>Microsoft Corporation</w:t>
            </w:r>
          </w:p>
        </w:tc>
        <w:tc>
          <w:tcPr>
            <w:tcW w:w="2693" w:type="dxa"/>
            <w:noWrap/>
            <w:vAlign w:val="center"/>
            <w:hideMark/>
          </w:tcPr>
          <w:p w14:paraId="46F1777B" w14:textId="3946F1E3"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3881961B" w14:textId="77777777" w:rsidR="000A08CF" w:rsidRPr="00AA2CAD" w:rsidRDefault="000A08CF" w:rsidP="00AA2CAD">
            <w:pPr>
              <w:jc w:val="right"/>
              <w:rPr>
                <w:sz w:val="18"/>
                <w:szCs w:val="18"/>
              </w:rPr>
            </w:pPr>
            <w:r w:rsidRPr="00AA2CAD">
              <w:rPr>
                <w:sz w:val="18"/>
                <w:szCs w:val="18"/>
              </w:rPr>
              <w:t>0.22%</w:t>
            </w:r>
          </w:p>
        </w:tc>
      </w:tr>
      <w:tr w:rsidR="000A08CF" w:rsidRPr="00AA2CAD" w14:paraId="440DF223" w14:textId="77777777" w:rsidTr="001C6087">
        <w:trPr>
          <w:trHeight w:val="300"/>
        </w:trPr>
        <w:tc>
          <w:tcPr>
            <w:tcW w:w="2405" w:type="dxa"/>
            <w:noWrap/>
            <w:vAlign w:val="center"/>
            <w:hideMark/>
          </w:tcPr>
          <w:p w14:paraId="64CF53F8" w14:textId="1B7160F0"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00D52F82" w14:textId="3AD83AF2" w:rsidR="000A08CF" w:rsidRPr="00AA2CAD" w:rsidRDefault="000A08CF" w:rsidP="000A08CF">
            <w:pPr>
              <w:rPr>
                <w:sz w:val="18"/>
                <w:szCs w:val="18"/>
              </w:rPr>
            </w:pPr>
            <w:proofErr w:type="spellStart"/>
            <w:r w:rsidRPr="00AA2CAD">
              <w:rPr>
                <w:sz w:val="18"/>
                <w:szCs w:val="18"/>
              </w:rPr>
              <w:t>Orbia</w:t>
            </w:r>
            <w:proofErr w:type="spellEnd"/>
            <w:r w:rsidRPr="00AA2CAD">
              <w:rPr>
                <w:sz w:val="18"/>
                <w:szCs w:val="18"/>
              </w:rPr>
              <w:t xml:space="preserve"> Advance Corp</w:t>
            </w:r>
          </w:p>
        </w:tc>
        <w:tc>
          <w:tcPr>
            <w:tcW w:w="2693" w:type="dxa"/>
            <w:noWrap/>
            <w:vAlign w:val="center"/>
            <w:hideMark/>
          </w:tcPr>
          <w:p w14:paraId="0D8C3C9C" w14:textId="5FC7B4BC" w:rsidR="000A08CF" w:rsidRPr="00AA2CAD" w:rsidRDefault="000A08CF" w:rsidP="000A08CF">
            <w:pPr>
              <w:rPr>
                <w:sz w:val="18"/>
                <w:szCs w:val="18"/>
              </w:rPr>
            </w:pPr>
            <w:r w:rsidRPr="00AA2CAD">
              <w:rPr>
                <w:sz w:val="18"/>
                <w:szCs w:val="18"/>
              </w:rPr>
              <w:t>Investigate</w:t>
            </w:r>
          </w:p>
        </w:tc>
        <w:tc>
          <w:tcPr>
            <w:tcW w:w="1843" w:type="dxa"/>
            <w:noWrap/>
            <w:vAlign w:val="center"/>
            <w:hideMark/>
          </w:tcPr>
          <w:p w14:paraId="57FDF0DB" w14:textId="77777777" w:rsidR="000A08CF" w:rsidRPr="00AA2CAD" w:rsidRDefault="000A08CF" w:rsidP="00AA2CAD">
            <w:pPr>
              <w:jc w:val="right"/>
              <w:rPr>
                <w:sz w:val="18"/>
                <w:szCs w:val="18"/>
              </w:rPr>
            </w:pPr>
            <w:r w:rsidRPr="00AA2CAD">
              <w:rPr>
                <w:sz w:val="18"/>
                <w:szCs w:val="18"/>
              </w:rPr>
              <w:t>0.01%</w:t>
            </w:r>
          </w:p>
        </w:tc>
      </w:tr>
      <w:tr w:rsidR="000A08CF" w:rsidRPr="00AA2CAD" w14:paraId="6935780A" w14:textId="77777777" w:rsidTr="001C6087">
        <w:trPr>
          <w:trHeight w:val="300"/>
        </w:trPr>
        <w:tc>
          <w:tcPr>
            <w:tcW w:w="2405" w:type="dxa"/>
            <w:noWrap/>
            <w:vAlign w:val="center"/>
            <w:hideMark/>
          </w:tcPr>
          <w:p w14:paraId="660F1283" w14:textId="161F5FFC"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6B4617B6" w14:textId="208CDE9E" w:rsidR="000A08CF" w:rsidRPr="00AA2CAD" w:rsidRDefault="000A08CF" w:rsidP="000A08CF">
            <w:pPr>
              <w:rPr>
                <w:sz w:val="18"/>
                <w:szCs w:val="18"/>
              </w:rPr>
            </w:pPr>
            <w:r w:rsidRPr="00AA2CAD">
              <w:rPr>
                <w:sz w:val="18"/>
                <w:szCs w:val="18"/>
              </w:rPr>
              <w:t>Siemens Gamesa Renewable Energy</w:t>
            </w:r>
          </w:p>
        </w:tc>
        <w:tc>
          <w:tcPr>
            <w:tcW w:w="2693" w:type="dxa"/>
            <w:noWrap/>
            <w:vAlign w:val="center"/>
            <w:hideMark/>
          </w:tcPr>
          <w:p w14:paraId="7B087F13" w14:textId="563B11BD"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0FFFF3B7" w14:textId="77777777" w:rsidR="000A08CF" w:rsidRPr="00AA2CAD" w:rsidRDefault="000A08CF" w:rsidP="00AA2CAD">
            <w:pPr>
              <w:jc w:val="right"/>
              <w:rPr>
                <w:sz w:val="18"/>
                <w:szCs w:val="18"/>
              </w:rPr>
            </w:pPr>
            <w:r w:rsidRPr="00AA2CAD">
              <w:rPr>
                <w:sz w:val="18"/>
                <w:szCs w:val="18"/>
              </w:rPr>
              <w:t>0.41%</w:t>
            </w:r>
          </w:p>
        </w:tc>
      </w:tr>
      <w:tr w:rsidR="000A08CF" w:rsidRPr="00AA2CAD" w14:paraId="2601C87E" w14:textId="77777777" w:rsidTr="001C6087">
        <w:trPr>
          <w:trHeight w:val="300"/>
        </w:trPr>
        <w:tc>
          <w:tcPr>
            <w:tcW w:w="2405" w:type="dxa"/>
            <w:noWrap/>
            <w:vAlign w:val="center"/>
            <w:hideMark/>
          </w:tcPr>
          <w:p w14:paraId="434AF931" w14:textId="61C35602" w:rsidR="000A08CF" w:rsidRPr="00AA2CAD" w:rsidRDefault="000A08CF" w:rsidP="000A08CF">
            <w:pPr>
              <w:rPr>
                <w:sz w:val="18"/>
                <w:szCs w:val="18"/>
              </w:rPr>
            </w:pPr>
            <w:r w:rsidRPr="00AA2CAD">
              <w:rPr>
                <w:sz w:val="18"/>
                <w:szCs w:val="18"/>
              </w:rPr>
              <w:t xml:space="preserve">LCIV Diversified Growth Fund </w:t>
            </w:r>
          </w:p>
        </w:tc>
        <w:tc>
          <w:tcPr>
            <w:tcW w:w="2977" w:type="dxa"/>
            <w:noWrap/>
            <w:vAlign w:val="center"/>
            <w:hideMark/>
          </w:tcPr>
          <w:p w14:paraId="2E46934F" w14:textId="004EFB1B" w:rsidR="000A08CF" w:rsidRPr="00AA2CAD" w:rsidRDefault="000A08CF" w:rsidP="000A08CF">
            <w:pPr>
              <w:rPr>
                <w:sz w:val="18"/>
                <w:szCs w:val="18"/>
              </w:rPr>
            </w:pPr>
            <w:r w:rsidRPr="00AA2CAD">
              <w:rPr>
                <w:sz w:val="18"/>
                <w:szCs w:val="18"/>
              </w:rPr>
              <w:t xml:space="preserve">Sony Corporation </w:t>
            </w:r>
          </w:p>
        </w:tc>
        <w:tc>
          <w:tcPr>
            <w:tcW w:w="2693" w:type="dxa"/>
            <w:noWrap/>
            <w:vAlign w:val="center"/>
            <w:hideMark/>
          </w:tcPr>
          <w:p w14:paraId="648E149D" w14:textId="2DBE2F1C" w:rsidR="000A08CF" w:rsidRPr="00AA2CAD" w:rsidRDefault="000A08CF" w:rsidP="000A08CF">
            <w:pPr>
              <w:rPr>
                <w:sz w:val="18"/>
                <w:szCs w:val="18"/>
              </w:rPr>
            </w:pPr>
            <w:r w:rsidRPr="00AA2CAD">
              <w:rPr>
                <w:sz w:val="18"/>
                <w:szCs w:val="18"/>
              </w:rPr>
              <w:t>Who Profits/Investigate</w:t>
            </w:r>
          </w:p>
        </w:tc>
        <w:tc>
          <w:tcPr>
            <w:tcW w:w="1843" w:type="dxa"/>
            <w:noWrap/>
            <w:vAlign w:val="center"/>
            <w:hideMark/>
          </w:tcPr>
          <w:p w14:paraId="39B9BFD9" w14:textId="77777777" w:rsidR="000A08CF" w:rsidRPr="00AA2CAD" w:rsidRDefault="000A08CF" w:rsidP="00AA2CAD">
            <w:pPr>
              <w:jc w:val="right"/>
              <w:rPr>
                <w:sz w:val="18"/>
                <w:szCs w:val="18"/>
              </w:rPr>
            </w:pPr>
            <w:r w:rsidRPr="00AA2CAD">
              <w:rPr>
                <w:sz w:val="18"/>
                <w:szCs w:val="18"/>
              </w:rPr>
              <w:t>0.09%</w:t>
            </w:r>
          </w:p>
        </w:tc>
      </w:tr>
    </w:tbl>
    <w:p w14:paraId="5B7AD19C" w14:textId="1E909476" w:rsidR="00D20799" w:rsidRPr="00AA2CAD" w:rsidRDefault="00923C55">
      <w:pPr>
        <w:rPr>
          <w:sz w:val="18"/>
          <w:szCs w:val="18"/>
        </w:rPr>
      </w:pPr>
      <w:r w:rsidRPr="00AA2CAD">
        <w:rPr>
          <w:sz w:val="18"/>
          <w:szCs w:val="18"/>
        </w:rPr>
        <w:t xml:space="preserve">(Calculated on 31/05/2021) </w:t>
      </w:r>
    </w:p>
    <w:p w14:paraId="19E30755" w14:textId="21C9F2F8" w:rsidR="00430744" w:rsidRPr="00102C21" w:rsidRDefault="00430744">
      <w:pPr>
        <w:rPr>
          <w:b/>
          <w:bCs/>
        </w:rPr>
      </w:pPr>
      <w:r w:rsidRPr="00102C21">
        <w:rPr>
          <w:b/>
          <w:bCs/>
        </w:rPr>
        <w:t>Other LCIV Exposure</w:t>
      </w:r>
      <w:r w:rsidR="00CA58A4" w:rsidRPr="00102C21">
        <w:rPr>
          <w:b/>
          <w:bCs/>
        </w:rPr>
        <w:t>s</w:t>
      </w:r>
    </w:p>
    <w:tbl>
      <w:tblPr>
        <w:tblStyle w:val="TableGrid"/>
        <w:tblW w:w="9918" w:type="dxa"/>
        <w:tblLook w:val="04A0" w:firstRow="1" w:lastRow="0" w:firstColumn="1" w:lastColumn="0" w:noHBand="0" w:noVBand="1"/>
      </w:tblPr>
      <w:tblGrid>
        <w:gridCol w:w="2405"/>
        <w:gridCol w:w="2977"/>
        <w:gridCol w:w="2693"/>
        <w:gridCol w:w="1843"/>
      </w:tblGrid>
      <w:tr w:rsidR="00E748E3" w:rsidRPr="00AA2CAD" w14:paraId="547A60F6" w14:textId="77777777" w:rsidTr="001C6087">
        <w:trPr>
          <w:trHeight w:val="369"/>
        </w:trPr>
        <w:tc>
          <w:tcPr>
            <w:tcW w:w="2405" w:type="dxa"/>
            <w:shd w:val="clear" w:color="auto" w:fill="7030A0"/>
            <w:noWrap/>
            <w:vAlign w:val="center"/>
            <w:hideMark/>
          </w:tcPr>
          <w:p w14:paraId="4750DCA7" w14:textId="587A70E3" w:rsidR="00E748E3" w:rsidRPr="001C6087" w:rsidRDefault="000A08CF" w:rsidP="00E748E3">
            <w:pPr>
              <w:jc w:val="center"/>
              <w:rPr>
                <w:b/>
                <w:bCs/>
                <w:color w:val="FFFFFF" w:themeColor="background1"/>
                <w:sz w:val="18"/>
                <w:szCs w:val="18"/>
              </w:rPr>
            </w:pPr>
            <w:r w:rsidRPr="001C6087">
              <w:rPr>
                <w:b/>
                <w:bCs/>
                <w:color w:val="FFFFFF" w:themeColor="background1"/>
                <w:sz w:val="18"/>
                <w:szCs w:val="18"/>
              </w:rPr>
              <w:t>Fund Name</w:t>
            </w:r>
          </w:p>
        </w:tc>
        <w:tc>
          <w:tcPr>
            <w:tcW w:w="2977" w:type="dxa"/>
            <w:shd w:val="clear" w:color="auto" w:fill="7030A0"/>
            <w:noWrap/>
            <w:vAlign w:val="center"/>
            <w:hideMark/>
          </w:tcPr>
          <w:p w14:paraId="042DE0BE" w14:textId="5DBF8E2D" w:rsidR="00E748E3" w:rsidRPr="001C6087" w:rsidRDefault="000A08CF" w:rsidP="00E748E3">
            <w:pPr>
              <w:jc w:val="center"/>
              <w:rPr>
                <w:b/>
                <w:bCs/>
                <w:color w:val="FFFFFF" w:themeColor="background1"/>
                <w:sz w:val="18"/>
                <w:szCs w:val="18"/>
              </w:rPr>
            </w:pPr>
            <w:r w:rsidRPr="001C6087">
              <w:rPr>
                <w:b/>
                <w:bCs/>
                <w:color w:val="FFFFFF" w:themeColor="background1"/>
                <w:sz w:val="18"/>
                <w:szCs w:val="18"/>
              </w:rPr>
              <w:t>Company</w:t>
            </w:r>
          </w:p>
        </w:tc>
        <w:tc>
          <w:tcPr>
            <w:tcW w:w="2693" w:type="dxa"/>
            <w:shd w:val="clear" w:color="auto" w:fill="7030A0"/>
            <w:noWrap/>
            <w:vAlign w:val="center"/>
            <w:hideMark/>
          </w:tcPr>
          <w:p w14:paraId="6F1385FA" w14:textId="57C18246" w:rsidR="00E748E3" w:rsidRPr="001C6087" w:rsidRDefault="000A08CF" w:rsidP="00E748E3">
            <w:pPr>
              <w:jc w:val="center"/>
              <w:rPr>
                <w:b/>
                <w:bCs/>
                <w:color w:val="FFFFFF" w:themeColor="background1"/>
                <w:sz w:val="18"/>
                <w:szCs w:val="18"/>
              </w:rPr>
            </w:pPr>
            <w:r w:rsidRPr="001C6087">
              <w:rPr>
                <w:b/>
                <w:bCs/>
                <w:color w:val="FFFFFF" w:themeColor="background1"/>
                <w:sz w:val="18"/>
                <w:szCs w:val="18"/>
              </w:rPr>
              <w:t>Reference</w:t>
            </w:r>
          </w:p>
        </w:tc>
        <w:tc>
          <w:tcPr>
            <w:tcW w:w="1843" w:type="dxa"/>
            <w:shd w:val="clear" w:color="auto" w:fill="7030A0"/>
            <w:noWrap/>
            <w:vAlign w:val="center"/>
            <w:hideMark/>
          </w:tcPr>
          <w:p w14:paraId="5B07C76C" w14:textId="48FAC482" w:rsidR="00E748E3" w:rsidRPr="001C6087" w:rsidRDefault="00E748E3" w:rsidP="00E748E3">
            <w:pPr>
              <w:jc w:val="center"/>
              <w:rPr>
                <w:b/>
                <w:bCs/>
                <w:color w:val="FFFFFF" w:themeColor="background1"/>
                <w:sz w:val="18"/>
                <w:szCs w:val="18"/>
              </w:rPr>
            </w:pPr>
            <w:r w:rsidRPr="001C6087">
              <w:rPr>
                <w:b/>
                <w:bCs/>
                <w:color w:val="FFFFFF" w:themeColor="background1"/>
                <w:sz w:val="18"/>
                <w:szCs w:val="18"/>
              </w:rPr>
              <w:t xml:space="preserve">% </w:t>
            </w:r>
            <w:proofErr w:type="gramStart"/>
            <w:r w:rsidRPr="001C6087">
              <w:rPr>
                <w:b/>
                <w:bCs/>
                <w:color w:val="FFFFFF" w:themeColor="background1"/>
                <w:sz w:val="18"/>
                <w:szCs w:val="18"/>
              </w:rPr>
              <w:t>of</w:t>
            </w:r>
            <w:proofErr w:type="gramEnd"/>
            <w:r w:rsidRPr="001C6087">
              <w:rPr>
                <w:b/>
                <w:bCs/>
                <w:color w:val="FFFFFF" w:themeColor="background1"/>
                <w:sz w:val="18"/>
                <w:szCs w:val="18"/>
              </w:rPr>
              <w:t xml:space="preserve"> Fund Exposure</w:t>
            </w:r>
          </w:p>
        </w:tc>
      </w:tr>
      <w:tr w:rsidR="00E748E3" w:rsidRPr="00AA2CAD" w14:paraId="733F1C64" w14:textId="77777777" w:rsidTr="001C6087">
        <w:trPr>
          <w:trHeight w:val="274"/>
        </w:trPr>
        <w:tc>
          <w:tcPr>
            <w:tcW w:w="2405" w:type="dxa"/>
            <w:noWrap/>
            <w:vAlign w:val="center"/>
            <w:hideMark/>
          </w:tcPr>
          <w:p w14:paraId="75E69854" w14:textId="2DEE7883" w:rsidR="00E748E3" w:rsidRPr="00AA2CAD" w:rsidRDefault="000A08CF" w:rsidP="000A08CF">
            <w:pPr>
              <w:rPr>
                <w:sz w:val="18"/>
                <w:szCs w:val="18"/>
              </w:rPr>
            </w:pPr>
            <w:r w:rsidRPr="00AA2CAD">
              <w:rPr>
                <w:sz w:val="18"/>
                <w:szCs w:val="18"/>
              </w:rPr>
              <w:t>Fund X</w:t>
            </w:r>
          </w:p>
        </w:tc>
        <w:tc>
          <w:tcPr>
            <w:tcW w:w="2977" w:type="dxa"/>
            <w:noWrap/>
            <w:vAlign w:val="center"/>
            <w:hideMark/>
          </w:tcPr>
          <w:p w14:paraId="2A6EBBFD" w14:textId="6D56C7C5" w:rsidR="00E748E3" w:rsidRPr="00AA2CAD" w:rsidRDefault="000A08CF" w:rsidP="000A08CF">
            <w:pPr>
              <w:rPr>
                <w:sz w:val="18"/>
                <w:szCs w:val="18"/>
              </w:rPr>
            </w:pPr>
            <w:r w:rsidRPr="00AA2CAD">
              <w:rPr>
                <w:sz w:val="18"/>
                <w:szCs w:val="18"/>
              </w:rPr>
              <w:t>Barclays</w:t>
            </w:r>
          </w:p>
        </w:tc>
        <w:tc>
          <w:tcPr>
            <w:tcW w:w="2693" w:type="dxa"/>
            <w:noWrap/>
            <w:vAlign w:val="center"/>
            <w:hideMark/>
          </w:tcPr>
          <w:p w14:paraId="752E9AEB" w14:textId="2BC12ED1" w:rsidR="00E748E3" w:rsidRPr="00AA2CAD" w:rsidRDefault="000A08CF" w:rsidP="000A08CF">
            <w:pPr>
              <w:rPr>
                <w:sz w:val="18"/>
                <w:szCs w:val="18"/>
              </w:rPr>
            </w:pPr>
            <w:r w:rsidRPr="00AA2CAD">
              <w:rPr>
                <w:sz w:val="18"/>
                <w:szCs w:val="18"/>
              </w:rPr>
              <w:t>Who Profits</w:t>
            </w:r>
          </w:p>
        </w:tc>
        <w:tc>
          <w:tcPr>
            <w:tcW w:w="1843" w:type="dxa"/>
            <w:noWrap/>
            <w:vAlign w:val="center"/>
            <w:hideMark/>
          </w:tcPr>
          <w:p w14:paraId="17FA2A8D" w14:textId="77777777" w:rsidR="00E748E3" w:rsidRPr="00AA2CAD" w:rsidRDefault="00E748E3" w:rsidP="00AA2CAD">
            <w:pPr>
              <w:jc w:val="right"/>
              <w:rPr>
                <w:sz w:val="18"/>
                <w:szCs w:val="18"/>
              </w:rPr>
            </w:pPr>
            <w:r w:rsidRPr="00AA2CAD">
              <w:rPr>
                <w:sz w:val="18"/>
                <w:szCs w:val="18"/>
              </w:rPr>
              <w:t>1.49%</w:t>
            </w:r>
          </w:p>
        </w:tc>
      </w:tr>
      <w:tr w:rsidR="00E748E3" w:rsidRPr="00AA2CAD" w14:paraId="490DEA17" w14:textId="77777777" w:rsidTr="001C6087">
        <w:trPr>
          <w:trHeight w:val="274"/>
        </w:trPr>
        <w:tc>
          <w:tcPr>
            <w:tcW w:w="2405" w:type="dxa"/>
            <w:noWrap/>
            <w:vAlign w:val="center"/>
            <w:hideMark/>
          </w:tcPr>
          <w:p w14:paraId="573118DF" w14:textId="50C87594" w:rsidR="00E748E3" w:rsidRPr="00AA2CAD" w:rsidRDefault="000A08CF" w:rsidP="000A08CF">
            <w:pPr>
              <w:rPr>
                <w:sz w:val="18"/>
                <w:szCs w:val="18"/>
              </w:rPr>
            </w:pPr>
            <w:r w:rsidRPr="00AA2CAD">
              <w:rPr>
                <w:sz w:val="18"/>
                <w:szCs w:val="18"/>
              </w:rPr>
              <w:t>Fund X</w:t>
            </w:r>
          </w:p>
        </w:tc>
        <w:tc>
          <w:tcPr>
            <w:tcW w:w="2977" w:type="dxa"/>
            <w:noWrap/>
            <w:vAlign w:val="center"/>
            <w:hideMark/>
          </w:tcPr>
          <w:p w14:paraId="1193F643" w14:textId="607B962D" w:rsidR="00E748E3" w:rsidRPr="00AA2CAD" w:rsidRDefault="000A08CF" w:rsidP="000A08CF">
            <w:pPr>
              <w:rPr>
                <w:sz w:val="18"/>
                <w:szCs w:val="18"/>
              </w:rPr>
            </w:pPr>
            <w:r w:rsidRPr="00AA2CAD">
              <w:rPr>
                <w:sz w:val="18"/>
                <w:szCs w:val="18"/>
              </w:rPr>
              <w:t>Sony Corporation</w:t>
            </w:r>
          </w:p>
        </w:tc>
        <w:tc>
          <w:tcPr>
            <w:tcW w:w="2693" w:type="dxa"/>
            <w:noWrap/>
            <w:vAlign w:val="center"/>
            <w:hideMark/>
          </w:tcPr>
          <w:p w14:paraId="745B143F" w14:textId="5A37266F" w:rsidR="00E748E3" w:rsidRPr="00AA2CAD" w:rsidRDefault="000A08CF" w:rsidP="000A08CF">
            <w:pPr>
              <w:rPr>
                <w:sz w:val="18"/>
                <w:szCs w:val="18"/>
              </w:rPr>
            </w:pPr>
            <w:r w:rsidRPr="00AA2CAD">
              <w:rPr>
                <w:sz w:val="18"/>
                <w:szCs w:val="18"/>
              </w:rPr>
              <w:t>Who Profits/Investigate</w:t>
            </w:r>
          </w:p>
        </w:tc>
        <w:tc>
          <w:tcPr>
            <w:tcW w:w="1843" w:type="dxa"/>
            <w:noWrap/>
            <w:vAlign w:val="center"/>
            <w:hideMark/>
          </w:tcPr>
          <w:p w14:paraId="65249FA8" w14:textId="77777777" w:rsidR="00E748E3" w:rsidRPr="00AA2CAD" w:rsidRDefault="00E748E3" w:rsidP="00AA2CAD">
            <w:pPr>
              <w:jc w:val="right"/>
              <w:rPr>
                <w:sz w:val="18"/>
                <w:szCs w:val="18"/>
              </w:rPr>
            </w:pPr>
            <w:r w:rsidRPr="00AA2CAD">
              <w:rPr>
                <w:sz w:val="18"/>
                <w:szCs w:val="18"/>
              </w:rPr>
              <w:t>0.36%</w:t>
            </w:r>
          </w:p>
        </w:tc>
      </w:tr>
      <w:tr w:rsidR="00E748E3" w:rsidRPr="00AA2CAD" w14:paraId="0FB5FE3A" w14:textId="77777777" w:rsidTr="001C6087">
        <w:trPr>
          <w:trHeight w:val="274"/>
        </w:trPr>
        <w:tc>
          <w:tcPr>
            <w:tcW w:w="2405" w:type="dxa"/>
            <w:noWrap/>
            <w:vAlign w:val="center"/>
            <w:hideMark/>
          </w:tcPr>
          <w:p w14:paraId="35DA4A13" w14:textId="3DF60320" w:rsidR="00E748E3" w:rsidRPr="00AA2CAD" w:rsidRDefault="000A08CF" w:rsidP="000A08CF">
            <w:pPr>
              <w:rPr>
                <w:sz w:val="18"/>
                <w:szCs w:val="18"/>
              </w:rPr>
            </w:pPr>
            <w:r w:rsidRPr="00AA2CAD">
              <w:rPr>
                <w:sz w:val="18"/>
                <w:szCs w:val="18"/>
              </w:rPr>
              <w:t>Fund X</w:t>
            </w:r>
          </w:p>
        </w:tc>
        <w:tc>
          <w:tcPr>
            <w:tcW w:w="2977" w:type="dxa"/>
            <w:noWrap/>
            <w:vAlign w:val="center"/>
            <w:hideMark/>
          </w:tcPr>
          <w:p w14:paraId="12588CF4" w14:textId="11C6DA05" w:rsidR="00E748E3" w:rsidRPr="00AA2CAD" w:rsidRDefault="000A08CF" w:rsidP="000A08CF">
            <w:pPr>
              <w:rPr>
                <w:sz w:val="18"/>
                <w:szCs w:val="18"/>
              </w:rPr>
            </w:pPr>
            <w:r w:rsidRPr="00AA2CAD">
              <w:rPr>
                <w:sz w:val="18"/>
                <w:szCs w:val="18"/>
              </w:rPr>
              <w:t>Northrop Grumman</w:t>
            </w:r>
          </w:p>
        </w:tc>
        <w:tc>
          <w:tcPr>
            <w:tcW w:w="2693" w:type="dxa"/>
            <w:noWrap/>
            <w:vAlign w:val="center"/>
            <w:hideMark/>
          </w:tcPr>
          <w:p w14:paraId="6A241C25" w14:textId="43D43566" w:rsidR="00E748E3" w:rsidRPr="00AA2CAD" w:rsidRDefault="000A08CF" w:rsidP="000A08CF">
            <w:pPr>
              <w:rPr>
                <w:sz w:val="18"/>
                <w:szCs w:val="18"/>
              </w:rPr>
            </w:pPr>
            <w:r w:rsidRPr="00AA2CAD">
              <w:rPr>
                <w:sz w:val="18"/>
                <w:szCs w:val="18"/>
              </w:rPr>
              <w:t>Who Profits/Investigate</w:t>
            </w:r>
          </w:p>
        </w:tc>
        <w:tc>
          <w:tcPr>
            <w:tcW w:w="1843" w:type="dxa"/>
            <w:noWrap/>
            <w:vAlign w:val="center"/>
            <w:hideMark/>
          </w:tcPr>
          <w:p w14:paraId="0658976E" w14:textId="77777777" w:rsidR="00E748E3" w:rsidRPr="00AA2CAD" w:rsidRDefault="00E748E3" w:rsidP="00AA2CAD">
            <w:pPr>
              <w:jc w:val="right"/>
              <w:rPr>
                <w:sz w:val="18"/>
                <w:szCs w:val="18"/>
              </w:rPr>
            </w:pPr>
            <w:r w:rsidRPr="00AA2CAD">
              <w:rPr>
                <w:sz w:val="18"/>
                <w:szCs w:val="18"/>
              </w:rPr>
              <w:t>0.37%</w:t>
            </w:r>
          </w:p>
        </w:tc>
      </w:tr>
      <w:tr w:rsidR="00E748E3" w:rsidRPr="00AA2CAD" w14:paraId="079144F2" w14:textId="77777777" w:rsidTr="001C6087">
        <w:trPr>
          <w:trHeight w:val="274"/>
        </w:trPr>
        <w:tc>
          <w:tcPr>
            <w:tcW w:w="2405" w:type="dxa"/>
            <w:noWrap/>
            <w:vAlign w:val="center"/>
            <w:hideMark/>
          </w:tcPr>
          <w:p w14:paraId="53E6B170" w14:textId="189839D2" w:rsidR="00E748E3" w:rsidRPr="00AA2CAD" w:rsidRDefault="000A08CF" w:rsidP="000A08CF">
            <w:pPr>
              <w:rPr>
                <w:sz w:val="18"/>
                <w:szCs w:val="18"/>
              </w:rPr>
            </w:pPr>
            <w:r w:rsidRPr="00AA2CAD">
              <w:rPr>
                <w:sz w:val="18"/>
                <w:szCs w:val="18"/>
              </w:rPr>
              <w:t>Fund X</w:t>
            </w:r>
          </w:p>
        </w:tc>
        <w:tc>
          <w:tcPr>
            <w:tcW w:w="2977" w:type="dxa"/>
            <w:noWrap/>
            <w:vAlign w:val="center"/>
            <w:hideMark/>
          </w:tcPr>
          <w:p w14:paraId="543202A2" w14:textId="418D8CBD" w:rsidR="00E748E3" w:rsidRPr="00AA2CAD" w:rsidRDefault="000A08CF" w:rsidP="000A08CF">
            <w:pPr>
              <w:rPr>
                <w:sz w:val="18"/>
                <w:szCs w:val="18"/>
              </w:rPr>
            </w:pPr>
            <w:r w:rsidRPr="00AA2CAD">
              <w:rPr>
                <w:sz w:val="18"/>
                <w:szCs w:val="18"/>
              </w:rPr>
              <w:t>Lockheed Martin</w:t>
            </w:r>
          </w:p>
        </w:tc>
        <w:tc>
          <w:tcPr>
            <w:tcW w:w="2693" w:type="dxa"/>
            <w:noWrap/>
            <w:vAlign w:val="center"/>
            <w:hideMark/>
          </w:tcPr>
          <w:p w14:paraId="1D9BDEBD" w14:textId="052400CA" w:rsidR="00E748E3" w:rsidRPr="00AA2CAD" w:rsidRDefault="000A08CF" w:rsidP="000A08CF">
            <w:pPr>
              <w:rPr>
                <w:sz w:val="18"/>
                <w:szCs w:val="18"/>
              </w:rPr>
            </w:pPr>
            <w:r w:rsidRPr="00AA2CAD">
              <w:rPr>
                <w:sz w:val="18"/>
                <w:szCs w:val="18"/>
              </w:rPr>
              <w:t>Who Profits/Investigate</w:t>
            </w:r>
          </w:p>
        </w:tc>
        <w:tc>
          <w:tcPr>
            <w:tcW w:w="1843" w:type="dxa"/>
            <w:noWrap/>
            <w:vAlign w:val="center"/>
            <w:hideMark/>
          </w:tcPr>
          <w:p w14:paraId="7FBCC2FC" w14:textId="77777777" w:rsidR="00E748E3" w:rsidRPr="00AA2CAD" w:rsidRDefault="00E748E3" w:rsidP="00AA2CAD">
            <w:pPr>
              <w:jc w:val="right"/>
              <w:rPr>
                <w:sz w:val="18"/>
                <w:szCs w:val="18"/>
              </w:rPr>
            </w:pPr>
            <w:r w:rsidRPr="00AA2CAD">
              <w:rPr>
                <w:sz w:val="18"/>
                <w:szCs w:val="18"/>
              </w:rPr>
              <w:t>0.33%</w:t>
            </w:r>
          </w:p>
        </w:tc>
      </w:tr>
      <w:tr w:rsidR="00E748E3" w:rsidRPr="00AA2CAD" w14:paraId="4A31E1EC" w14:textId="77777777" w:rsidTr="001C6087">
        <w:trPr>
          <w:trHeight w:val="274"/>
        </w:trPr>
        <w:tc>
          <w:tcPr>
            <w:tcW w:w="2405" w:type="dxa"/>
            <w:noWrap/>
            <w:vAlign w:val="center"/>
            <w:hideMark/>
          </w:tcPr>
          <w:p w14:paraId="6B0EB414" w14:textId="77092B29" w:rsidR="00E748E3" w:rsidRPr="00AA2CAD" w:rsidRDefault="000A08CF" w:rsidP="000A08CF">
            <w:pPr>
              <w:rPr>
                <w:sz w:val="18"/>
                <w:szCs w:val="18"/>
              </w:rPr>
            </w:pPr>
            <w:r w:rsidRPr="00AA2CAD">
              <w:rPr>
                <w:sz w:val="18"/>
                <w:szCs w:val="18"/>
              </w:rPr>
              <w:t>Fund X</w:t>
            </w:r>
          </w:p>
        </w:tc>
        <w:tc>
          <w:tcPr>
            <w:tcW w:w="2977" w:type="dxa"/>
            <w:noWrap/>
            <w:vAlign w:val="center"/>
            <w:hideMark/>
          </w:tcPr>
          <w:p w14:paraId="2E1F5E00" w14:textId="1818C8F8" w:rsidR="00E748E3" w:rsidRPr="00AA2CAD" w:rsidRDefault="000A08CF" w:rsidP="000A08CF">
            <w:pPr>
              <w:rPr>
                <w:sz w:val="18"/>
                <w:szCs w:val="18"/>
              </w:rPr>
            </w:pPr>
            <w:r w:rsidRPr="00AA2CAD">
              <w:rPr>
                <w:sz w:val="18"/>
                <w:szCs w:val="18"/>
              </w:rPr>
              <w:t>Bae Systems</w:t>
            </w:r>
          </w:p>
        </w:tc>
        <w:tc>
          <w:tcPr>
            <w:tcW w:w="2693" w:type="dxa"/>
            <w:noWrap/>
            <w:vAlign w:val="center"/>
            <w:hideMark/>
          </w:tcPr>
          <w:p w14:paraId="0465EDDC" w14:textId="2DA01D39" w:rsidR="00E748E3" w:rsidRPr="00AA2CAD" w:rsidRDefault="000A08CF" w:rsidP="000A08CF">
            <w:pPr>
              <w:rPr>
                <w:sz w:val="18"/>
                <w:szCs w:val="18"/>
              </w:rPr>
            </w:pPr>
            <w:r w:rsidRPr="00AA2CAD">
              <w:rPr>
                <w:sz w:val="18"/>
                <w:szCs w:val="18"/>
              </w:rPr>
              <w:t>Who Profits/Investigate</w:t>
            </w:r>
          </w:p>
        </w:tc>
        <w:tc>
          <w:tcPr>
            <w:tcW w:w="1843" w:type="dxa"/>
            <w:noWrap/>
            <w:vAlign w:val="center"/>
            <w:hideMark/>
          </w:tcPr>
          <w:p w14:paraId="5562CBD1" w14:textId="77777777" w:rsidR="00E748E3" w:rsidRPr="00AA2CAD" w:rsidRDefault="00E748E3" w:rsidP="00AA2CAD">
            <w:pPr>
              <w:jc w:val="right"/>
              <w:rPr>
                <w:sz w:val="18"/>
                <w:szCs w:val="18"/>
              </w:rPr>
            </w:pPr>
            <w:r w:rsidRPr="00AA2CAD">
              <w:rPr>
                <w:sz w:val="18"/>
                <w:szCs w:val="18"/>
              </w:rPr>
              <w:t>0.35%</w:t>
            </w:r>
          </w:p>
        </w:tc>
      </w:tr>
    </w:tbl>
    <w:p w14:paraId="7D38A229" w14:textId="154E265F" w:rsidR="004413BE" w:rsidRPr="001C6087" w:rsidRDefault="004413BE">
      <w:pPr>
        <w:rPr>
          <w:sz w:val="18"/>
          <w:szCs w:val="18"/>
        </w:rPr>
      </w:pPr>
      <w:r w:rsidRPr="001C6087">
        <w:rPr>
          <w:sz w:val="18"/>
          <w:szCs w:val="18"/>
        </w:rPr>
        <w:t xml:space="preserve">(Calculated on </w:t>
      </w:r>
      <w:r w:rsidR="007C1EE3" w:rsidRPr="001C6087">
        <w:rPr>
          <w:sz w:val="18"/>
          <w:szCs w:val="18"/>
        </w:rPr>
        <w:t>31</w:t>
      </w:r>
      <w:r w:rsidRPr="001C6087">
        <w:rPr>
          <w:sz w:val="18"/>
          <w:szCs w:val="18"/>
        </w:rPr>
        <w:t>/05/2021)</w:t>
      </w:r>
      <w:r w:rsidR="001C6087">
        <w:rPr>
          <w:sz w:val="18"/>
          <w:szCs w:val="18"/>
        </w:rPr>
        <w:t xml:space="preserve"> </w:t>
      </w:r>
      <w:r w:rsidRPr="001C6087">
        <w:rPr>
          <w:sz w:val="18"/>
          <w:szCs w:val="18"/>
        </w:rPr>
        <w:t>Reference</w:t>
      </w:r>
      <w:r w:rsidR="001C6087">
        <w:rPr>
          <w:sz w:val="18"/>
          <w:szCs w:val="18"/>
        </w:rPr>
        <w:t>s</w:t>
      </w:r>
      <w:r w:rsidRPr="001C6087">
        <w:rPr>
          <w:sz w:val="18"/>
          <w:szCs w:val="18"/>
        </w:rPr>
        <w:t xml:space="preserve">: </w:t>
      </w:r>
      <w:r w:rsidRPr="001C6087">
        <w:rPr>
          <w:rFonts w:ascii="Calibri" w:eastAsia="Times New Roman" w:hAnsi="Calibri" w:cs="Calibri"/>
          <w:sz w:val="18"/>
          <w:szCs w:val="18"/>
          <w:lang w:eastAsia="en-GB"/>
        </w:rPr>
        <w:t xml:space="preserve">Investigate, United Nations Human Rights Office of the High Commissioner A/HRC/37/39 Report and </w:t>
      </w:r>
      <w:proofErr w:type="spellStart"/>
      <w:r w:rsidRPr="001C6087">
        <w:rPr>
          <w:rFonts w:ascii="Calibri" w:eastAsia="Times New Roman" w:hAnsi="Calibri" w:cs="Calibri"/>
          <w:sz w:val="18"/>
          <w:szCs w:val="18"/>
          <w:lang w:eastAsia="en-GB"/>
        </w:rPr>
        <w:t>WhoProfits</w:t>
      </w:r>
      <w:proofErr w:type="spellEnd"/>
      <w:r w:rsidRPr="001C6087">
        <w:rPr>
          <w:rFonts w:ascii="Calibri" w:eastAsia="Times New Roman" w:hAnsi="Calibri" w:cs="Calibri"/>
          <w:sz w:val="18"/>
          <w:szCs w:val="18"/>
          <w:lang w:eastAsia="en-GB"/>
        </w:rPr>
        <w:t xml:space="preserve"> Online Database and Information Centre</w:t>
      </w:r>
    </w:p>
    <w:sectPr w:rsidR="004413BE" w:rsidRPr="001C6087" w:rsidSect="00AA2C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5287" w14:textId="77777777" w:rsidR="006812D7" w:rsidRDefault="006812D7" w:rsidP="00430744">
      <w:pPr>
        <w:spacing w:after="0" w:line="240" w:lineRule="auto"/>
      </w:pPr>
      <w:r>
        <w:separator/>
      </w:r>
    </w:p>
  </w:endnote>
  <w:endnote w:type="continuationSeparator" w:id="0">
    <w:p w14:paraId="473E04CB" w14:textId="77777777" w:rsidR="006812D7" w:rsidRDefault="006812D7" w:rsidP="0043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0D05" w14:textId="77777777" w:rsidR="006812D7" w:rsidRDefault="006812D7" w:rsidP="00430744">
      <w:pPr>
        <w:spacing w:after="0" w:line="240" w:lineRule="auto"/>
      </w:pPr>
      <w:r>
        <w:separator/>
      </w:r>
    </w:p>
  </w:footnote>
  <w:footnote w:type="continuationSeparator" w:id="0">
    <w:p w14:paraId="3B9D6553" w14:textId="77777777" w:rsidR="006812D7" w:rsidRDefault="006812D7" w:rsidP="00430744">
      <w:pPr>
        <w:spacing w:after="0" w:line="240" w:lineRule="auto"/>
      </w:pPr>
      <w:r>
        <w:continuationSeparator/>
      </w:r>
    </w:p>
  </w:footnote>
  <w:footnote w:id="1">
    <w:p w14:paraId="5BD204DB" w14:textId="77777777" w:rsidR="00E744E3" w:rsidRDefault="00E744E3" w:rsidP="00E744E3">
      <w:pPr>
        <w:pStyle w:val="FootnoteText"/>
        <w:rPr>
          <w:lang w:val="en-US"/>
        </w:rPr>
      </w:pPr>
      <w:r>
        <w:rPr>
          <w:rStyle w:val="FootnoteReference"/>
        </w:rPr>
        <w:footnoteRef/>
      </w:r>
      <w:r>
        <w:t xml:space="preserve"> A Threshold Crossed: Israeli Authorities and the Crimes of Apartheid and Persecution, 27</w:t>
      </w:r>
      <w:r>
        <w:rPr>
          <w:vertAlign w:val="superscript"/>
        </w:rPr>
        <w:t>th</w:t>
      </w:r>
      <w:r>
        <w:t xml:space="preserve"> April 2021, Human Rights Watch. </w:t>
      </w:r>
    </w:p>
  </w:footnote>
  <w:footnote w:id="2">
    <w:p w14:paraId="231125D8" w14:textId="77777777" w:rsidR="00E744E3" w:rsidRDefault="00E744E3" w:rsidP="00E744E3">
      <w:pPr>
        <w:pStyle w:val="FootnoteText"/>
        <w:rPr>
          <w:lang w:val="en-US"/>
        </w:rPr>
      </w:pPr>
      <w:r>
        <w:rPr>
          <w:rStyle w:val="FootnoteReference"/>
        </w:rPr>
        <w:footnoteRef/>
      </w:r>
      <w:r>
        <w:t xml:space="preserve"> </w:t>
      </w:r>
      <w:r>
        <w:rPr>
          <w:lang w:val="en-US"/>
        </w:rPr>
        <w:t xml:space="preserve">Assessment has been conducted using </w:t>
      </w:r>
      <w:r>
        <w:t xml:space="preserve">United Nations Human Rights Office of the High Commissioner (“OHCHR”) A/HRC/37/39 Report and </w:t>
      </w:r>
      <w:proofErr w:type="spellStart"/>
      <w:r>
        <w:t>WhoProfits</w:t>
      </w:r>
      <w:proofErr w:type="spellEnd"/>
      <w:r>
        <w:t xml:space="preserve"> Online Database and Information Centre.</w:t>
      </w:r>
    </w:p>
  </w:footnote>
  <w:footnote w:id="3">
    <w:p w14:paraId="63E5929A" w14:textId="77777777" w:rsidR="00E744E3" w:rsidRDefault="00E744E3" w:rsidP="00E744E3">
      <w:pPr>
        <w:pStyle w:val="FootnoteText"/>
        <w:rPr>
          <w:lang w:val="en-US"/>
        </w:rPr>
      </w:pPr>
      <w:r>
        <w:rPr>
          <w:rStyle w:val="FootnoteReference"/>
        </w:rPr>
        <w:footnoteRef/>
      </w:r>
      <w:r>
        <w:t xml:space="preserve"> Uyghurs for sale: ‘Re-education’, forced labour and surveillance beyond Xinjiang, March 2020, Australian Strategic Policy Institute. </w:t>
      </w:r>
    </w:p>
  </w:footnote>
  <w:footnote w:id="4">
    <w:p w14:paraId="7936148E" w14:textId="77777777" w:rsidR="00E744E3" w:rsidRDefault="00E744E3" w:rsidP="00E744E3">
      <w:pPr>
        <w:pStyle w:val="FootnoteText"/>
        <w:rPr>
          <w:lang w:val="en-US"/>
        </w:rPr>
      </w:pPr>
      <w:r>
        <w:rPr>
          <w:rStyle w:val="FootnoteReference"/>
        </w:rPr>
        <w:footnoteRef/>
      </w:r>
      <w:r>
        <w:t xml:space="preserve"> G20 arms exports to Saudi Arabia worth three times aid to Yemen since 2015, 17</w:t>
      </w:r>
      <w:r>
        <w:rPr>
          <w:vertAlign w:val="superscript"/>
        </w:rPr>
        <w:t>th</w:t>
      </w:r>
      <w:r>
        <w:t xml:space="preserve"> November 2020, Oxfam. </w:t>
      </w:r>
    </w:p>
  </w:footnote>
  <w:footnote w:id="5">
    <w:p w14:paraId="2ABF7A08" w14:textId="77777777" w:rsidR="00E744E3" w:rsidRDefault="00E744E3" w:rsidP="00E744E3">
      <w:pPr>
        <w:pStyle w:val="FootnoteText"/>
        <w:rPr>
          <w:lang w:val="en-US"/>
        </w:rPr>
      </w:pPr>
      <w:r>
        <w:rPr>
          <w:rStyle w:val="FootnoteReference"/>
        </w:rPr>
        <w:footnoteRef/>
      </w:r>
      <w:r>
        <w:t xml:space="preserve"> </w:t>
      </w:r>
      <w:r>
        <w:rPr>
          <w:lang w:val="en-US"/>
        </w:rPr>
        <w:t xml:space="preserve">Nodes of Corruption, Lines of Abuse How </w:t>
      </w:r>
      <w:proofErr w:type="spellStart"/>
      <w:r>
        <w:rPr>
          <w:lang w:val="en-US"/>
        </w:rPr>
        <w:t>Mytel</w:t>
      </w:r>
      <w:proofErr w:type="spellEnd"/>
      <w:r>
        <w:rPr>
          <w:lang w:val="en-US"/>
        </w:rPr>
        <w:t>, Viettel and a global network of businesses support the international crimes of the Myanmar military. Justice for Myanmar.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4"/>
    <w:rsid w:val="000A08CF"/>
    <w:rsid w:val="00102C21"/>
    <w:rsid w:val="001169B5"/>
    <w:rsid w:val="00164144"/>
    <w:rsid w:val="001C6087"/>
    <w:rsid w:val="002B562F"/>
    <w:rsid w:val="002C2B15"/>
    <w:rsid w:val="00314F21"/>
    <w:rsid w:val="003F737F"/>
    <w:rsid w:val="00430744"/>
    <w:rsid w:val="004413BE"/>
    <w:rsid w:val="005850AD"/>
    <w:rsid w:val="00617E44"/>
    <w:rsid w:val="00625AEB"/>
    <w:rsid w:val="006713BA"/>
    <w:rsid w:val="006812D7"/>
    <w:rsid w:val="00761E87"/>
    <w:rsid w:val="007C1EE3"/>
    <w:rsid w:val="007D178A"/>
    <w:rsid w:val="008417D7"/>
    <w:rsid w:val="008F1CF0"/>
    <w:rsid w:val="00905340"/>
    <w:rsid w:val="00923C55"/>
    <w:rsid w:val="00A4080E"/>
    <w:rsid w:val="00AA2CAD"/>
    <w:rsid w:val="00AA409E"/>
    <w:rsid w:val="00C1336C"/>
    <w:rsid w:val="00C4194D"/>
    <w:rsid w:val="00CA58A4"/>
    <w:rsid w:val="00D20799"/>
    <w:rsid w:val="00E41142"/>
    <w:rsid w:val="00E744E3"/>
    <w:rsid w:val="00E7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BFFD"/>
  <w15:chartTrackingRefBased/>
  <w15:docId w15:val="{C7E5A96D-0C24-4B0C-964B-28D870F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744"/>
  </w:style>
  <w:style w:type="paragraph" w:styleId="Footer">
    <w:name w:val="footer"/>
    <w:basedOn w:val="Normal"/>
    <w:link w:val="FooterChar"/>
    <w:uiPriority w:val="99"/>
    <w:unhideWhenUsed/>
    <w:rsid w:val="0043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744"/>
  </w:style>
  <w:style w:type="paragraph" w:customStyle="1" w:styleId="paragraph">
    <w:name w:val="paragraph"/>
    <w:basedOn w:val="Normal"/>
    <w:rsid w:val="00314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4F21"/>
  </w:style>
  <w:style w:type="character" w:customStyle="1" w:styleId="eop">
    <w:name w:val="eop"/>
    <w:basedOn w:val="DefaultParagraphFont"/>
    <w:rsid w:val="00314F21"/>
  </w:style>
  <w:style w:type="character" w:customStyle="1" w:styleId="superscript">
    <w:name w:val="superscript"/>
    <w:basedOn w:val="DefaultParagraphFont"/>
    <w:rsid w:val="00314F21"/>
  </w:style>
  <w:style w:type="character" w:styleId="Hyperlink">
    <w:name w:val="Hyperlink"/>
    <w:basedOn w:val="DefaultParagraphFont"/>
    <w:uiPriority w:val="99"/>
    <w:semiHidden/>
    <w:unhideWhenUsed/>
    <w:rsid w:val="00E744E3"/>
    <w:rPr>
      <w:color w:val="0563C1" w:themeColor="hyperlink"/>
      <w:u w:val="single"/>
    </w:rPr>
  </w:style>
  <w:style w:type="paragraph" w:styleId="FootnoteText">
    <w:name w:val="footnote text"/>
    <w:basedOn w:val="Normal"/>
    <w:link w:val="FootnoteTextChar"/>
    <w:uiPriority w:val="99"/>
    <w:semiHidden/>
    <w:unhideWhenUsed/>
    <w:rsid w:val="00E7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4E3"/>
    <w:rPr>
      <w:sz w:val="20"/>
      <w:szCs w:val="20"/>
    </w:rPr>
  </w:style>
  <w:style w:type="character" w:styleId="FootnoteReference">
    <w:name w:val="footnote reference"/>
    <w:basedOn w:val="DefaultParagraphFont"/>
    <w:uiPriority w:val="99"/>
    <w:semiHidden/>
    <w:unhideWhenUsed/>
    <w:rsid w:val="00E74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761">
      <w:bodyDiv w:val="1"/>
      <w:marLeft w:val="0"/>
      <w:marRight w:val="0"/>
      <w:marTop w:val="0"/>
      <w:marBottom w:val="0"/>
      <w:divBdr>
        <w:top w:val="none" w:sz="0" w:space="0" w:color="auto"/>
        <w:left w:val="none" w:sz="0" w:space="0" w:color="auto"/>
        <w:bottom w:val="none" w:sz="0" w:space="0" w:color="auto"/>
        <w:right w:val="none" w:sz="0" w:space="0" w:color="auto"/>
      </w:divBdr>
    </w:div>
    <w:div w:id="57214529">
      <w:bodyDiv w:val="1"/>
      <w:marLeft w:val="0"/>
      <w:marRight w:val="0"/>
      <w:marTop w:val="0"/>
      <w:marBottom w:val="0"/>
      <w:divBdr>
        <w:top w:val="none" w:sz="0" w:space="0" w:color="auto"/>
        <w:left w:val="none" w:sz="0" w:space="0" w:color="auto"/>
        <w:bottom w:val="none" w:sz="0" w:space="0" w:color="auto"/>
        <w:right w:val="none" w:sz="0" w:space="0" w:color="auto"/>
      </w:divBdr>
    </w:div>
    <w:div w:id="112864013">
      <w:bodyDiv w:val="1"/>
      <w:marLeft w:val="0"/>
      <w:marRight w:val="0"/>
      <w:marTop w:val="0"/>
      <w:marBottom w:val="0"/>
      <w:divBdr>
        <w:top w:val="none" w:sz="0" w:space="0" w:color="auto"/>
        <w:left w:val="none" w:sz="0" w:space="0" w:color="auto"/>
        <w:bottom w:val="none" w:sz="0" w:space="0" w:color="auto"/>
        <w:right w:val="none" w:sz="0" w:space="0" w:color="auto"/>
      </w:divBdr>
    </w:div>
    <w:div w:id="217739763">
      <w:bodyDiv w:val="1"/>
      <w:marLeft w:val="0"/>
      <w:marRight w:val="0"/>
      <w:marTop w:val="0"/>
      <w:marBottom w:val="0"/>
      <w:divBdr>
        <w:top w:val="none" w:sz="0" w:space="0" w:color="auto"/>
        <w:left w:val="none" w:sz="0" w:space="0" w:color="auto"/>
        <w:bottom w:val="none" w:sz="0" w:space="0" w:color="auto"/>
        <w:right w:val="none" w:sz="0" w:space="0" w:color="auto"/>
      </w:divBdr>
      <w:divsChild>
        <w:div w:id="824055373">
          <w:marLeft w:val="0"/>
          <w:marRight w:val="0"/>
          <w:marTop w:val="0"/>
          <w:marBottom w:val="0"/>
          <w:divBdr>
            <w:top w:val="none" w:sz="0" w:space="0" w:color="auto"/>
            <w:left w:val="none" w:sz="0" w:space="0" w:color="auto"/>
            <w:bottom w:val="none" w:sz="0" w:space="0" w:color="auto"/>
            <w:right w:val="none" w:sz="0" w:space="0" w:color="auto"/>
          </w:divBdr>
        </w:div>
        <w:div w:id="339702266">
          <w:marLeft w:val="0"/>
          <w:marRight w:val="0"/>
          <w:marTop w:val="0"/>
          <w:marBottom w:val="0"/>
          <w:divBdr>
            <w:top w:val="none" w:sz="0" w:space="0" w:color="auto"/>
            <w:left w:val="none" w:sz="0" w:space="0" w:color="auto"/>
            <w:bottom w:val="none" w:sz="0" w:space="0" w:color="auto"/>
            <w:right w:val="none" w:sz="0" w:space="0" w:color="auto"/>
          </w:divBdr>
        </w:div>
        <w:div w:id="1014497946">
          <w:marLeft w:val="0"/>
          <w:marRight w:val="0"/>
          <w:marTop w:val="0"/>
          <w:marBottom w:val="0"/>
          <w:divBdr>
            <w:top w:val="none" w:sz="0" w:space="0" w:color="auto"/>
            <w:left w:val="none" w:sz="0" w:space="0" w:color="auto"/>
            <w:bottom w:val="none" w:sz="0" w:space="0" w:color="auto"/>
            <w:right w:val="none" w:sz="0" w:space="0" w:color="auto"/>
          </w:divBdr>
        </w:div>
        <w:div w:id="1316760084">
          <w:marLeft w:val="0"/>
          <w:marRight w:val="0"/>
          <w:marTop w:val="0"/>
          <w:marBottom w:val="0"/>
          <w:divBdr>
            <w:top w:val="none" w:sz="0" w:space="0" w:color="auto"/>
            <w:left w:val="none" w:sz="0" w:space="0" w:color="auto"/>
            <w:bottom w:val="none" w:sz="0" w:space="0" w:color="auto"/>
            <w:right w:val="none" w:sz="0" w:space="0" w:color="auto"/>
          </w:divBdr>
        </w:div>
        <w:div w:id="1194416900">
          <w:marLeft w:val="0"/>
          <w:marRight w:val="0"/>
          <w:marTop w:val="0"/>
          <w:marBottom w:val="0"/>
          <w:divBdr>
            <w:top w:val="none" w:sz="0" w:space="0" w:color="auto"/>
            <w:left w:val="none" w:sz="0" w:space="0" w:color="auto"/>
            <w:bottom w:val="none" w:sz="0" w:space="0" w:color="auto"/>
            <w:right w:val="none" w:sz="0" w:space="0" w:color="auto"/>
          </w:divBdr>
        </w:div>
        <w:div w:id="1121807442">
          <w:marLeft w:val="0"/>
          <w:marRight w:val="0"/>
          <w:marTop w:val="0"/>
          <w:marBottom w:val="0"/>
          <w:divBdr>
            <w:top w:val="none" w:sz="0" w:space="0" w:color="auto"/>
            <w:left w:val="none" w:sz="0" w:space="0" w:color="auto"/>
            <w:bottom w:val="none" w:sz="0" w:space="0" w:color="auto"/>
            <w:right w:val="none" w:sz="0" w:space="0" w:color="auto"/>
          </w:divBdr>
        </w:div>
        <w:div w:id="784082268">
          <w:marLeft w:val="0"/>
          <w:marRight w:val="0"/>
          <w:marTop w:val="0"/>
          <w:marBottom w:val="0"/>
          <w:divBdr>
            <w:top w:val="none" w:sz="0" w:space="0" w:color="auto"/>
            <w:left w:val="none" w:sz="0" w:space="0" w:color="auto"/>
            <w:bottom w:val="none" w:sz="0" w:space="0" w:color="auto"/>
            <w:right w:val="none" w:sz="0" w:space="0" w:color="auto"/>
          </w:divBdr>
        </w:div>
        <w:div w:id="1078552133">
          <w:marLeft w:val="0"/>
          <w:marRight w:val="0"/>
          <w:marTop w:val="0"/>
          <w:marBottom w:val="0"/>
          <w:divBdr>
            <w:top w:val="none" w:sz="0" w:space="0" w:color="auto"/>
            <w:left w:val="none" w:sz="0" w:space="0" w:color="auto"/>
            <w:bottom w:val="none" w:sz="0" w:space="0" w:color="auto"/>
            <w:right w:val="none" w:sz="0" w:space="0" w:color="auto"/>
          </w:divBdr>
        </w:div>
      </w:divsChild>
    </w:div>
    <w:div w:id="1811363939">
      <w:bodyDiv w:val="1"/>
      <w:marLeft w:val="0"/>
      <w:marRight w:val="0"/>
      <w:marTop w:val="0"/>
      <w:marBottom w:val="0"/>
      <w:divBdr>
        <w:top w:val="none" w:sz="0" w:space="0" w:color="auto"/>
        <w:left w:val="none" w:sz="0" w:space="0" w:color="auto"/>
        <w:bottom w:val="none" w:sz="0" w:space="0" w:color="auto"/>
        <w:right w:val="none" w:sz="0" w:space="0" w:color="auto"/>
      </w:divBdr>
    </w:div>
    <w:div w:id="20756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ndonciv.org.uk/block/download/2859/f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1C94-DBF3-4BA2-99B5-6264EF3E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Lee</dc:creator>
  <cp:keywords/>
  <dc:description/>
  <cp:lastModifiedBy>Alison Hebdon</cp:lastModifiedBy>
  <cp:revision>2</cp:revision>
  <dcterms:created xsi:type="dcterms:W3CDTF">2021-07-13T14:16:00Z</dcterms:created>
  <dcterms:modified xsi:type="dcterms:W3CDTF">2021-07-13T14:16:00Z</dcterms:modified>
</cp:coreProperties>
</file>